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sdt>
      <w:sdtPr>
        <w:rPr>
          <w:rFonts w:ascii="宋体" w:hAnsi="宋体" w:eastAsia="宋体" w:cstheme="minorBidi"/>
          <w:kern w:val="2"/>
          <w:sz w:val="32"/>
          <w:szCs w:val="32"/>
          <w:lang w:val="en-US" w:eastAsia="zh-CN" w:bidi="ar-SA"/>
        </w:rPr>
        <w:id w:val="147458762"/>
        <w15:color w:val="DBDBDB"/>
        <w:docPartObj>
          <w:docPartGallery w:val="Table of Contents"/>
          <w:docPartUnique/>
        </w:docPartObj>
      </w:sdtPr>
      <w:sdtEndPr>
        <w:rPr>
          <w:rFonts w:ascii="宋体" w:hAnsi="宋体" w:eastAsia="宋体" w:cstheme="minorBidi"/>
          <w:kern w:val="2"/>
          <w:sz w:val="21"/>
          <w:szCs w:val="24"/>
          <w:lang w:val="en-US" w:eastAsia="zh-CN" w:bidi="ar-SA"/>
        </w:rPr>
      </w:sdtEndPr>
      <w:sdtContent>
        <w:p w14:paraId="721A0B25">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center"/>
            <w:textAlignment w:val="auto"/>
            <w:rPr>
              <w:rFonts w:hint="eastAsia" w:ascii="黑体" w:hAnsi="黑体" w:eastAsia="黑体" w:cs="黑体"/>
              <w:sz w:val="32"/>
              <w:szCs w:val="32"/>
            </w:rPr>
          </w:pPr>
          <w:bookmarkStart w:id="0" w:name="_Toc4052"/>
          <w:r>
            <w:rPr>
              <w:rFonts w:hint="eastAsia" w:ascii="黑体" w:hAnsi="黑体" w:eastAsia="黑体" w:cs="黑体"/>
              <w:sz w:val="32"/>
              <w:szCs w:val="32"/>
            </w:rPr>
            <w:t>目录</w:t>
          </w:r>
        </w:p>
        <w:p w14:paraId="03D4C190">
          <w:pPr>
            <w:pStyle w:val="12"/>
            <w:keepNext w:val="0"/>
            <w:keepLines w:val="0"/>
            <w:pageBreakBefore w:val="0"/>
            <w:widowControl w:val="0"/>
            <w:tabs>
              <w:tab w:val="right" w:leader="dot" w:pos="8846"/>
            </w:tabs>
            <w:kinsoku/>
            <w:wordWrap/>
            <w:overflowPunct/>
            <w:topLinePunct w:val="0"/>
            <w:autoSpaceDE/>
            <w:autoSpaceDN/>
            <w:bidi w:val="0"/>
            <w:adjustRightInd/>
            <w:snapToGrid/>
            <w:spacing w:line="560" w:lineRule="exact"/>
            <w:textAlignment w:val="auto"/>
            <w:rPr>
              <w:sz w:val="32"/>
              <w:szCs w:val="32"/>
            </w:rPr>
          </w:pPr>
          <w:r>
            <w:rPr>
              <w:sz w:val="32"/>
              <w:szCs w:val="32"/>
            </w:rPr>
            <w:fldChar w:fldCharType="begin"/>
          </w:r>
          <w:r>
            <w:rPr>
              <w:sz w:val="32"/>
              <w:szCs w:val="32"/>
            </w:rPr>
            <w:instrText xml:space="preserve">TOC \o "1-3" \h \u </w:instrText>
          </w:r>
          <w:r>
            <w:rPr>
              <w:sz w:val="32"/>
              <w:szCs w:val="32"/>
            </w:rPr>
            <w:fldChar w:fldCharType="separate"/>
          </w:r>
          <w:r>
            <w:rPr>
              <w:sz w:val="32"/>
              <w:szCs w:val="32"/>
            </w:rPr>
            <w:fldChar w:fldCharType="begin"/>
          </w:r>
          <w:r>
            <w:rPr>
              <w:sz w:val="32"/>
              <w:szCs w:val="32"/>
            </w:rPr>
            <w:instrText xml:space="preserve"> HYPERLINK \l _Toc27123 </w:instrText>
          </w:r>
          <w:r>
            <w:rPr>
              <w:sz w:val="32"/>
              <w:szCs w:val="32"/>
            </w:rPr>
            <w:fldChar w:fldCharType="separate"/>
          </w:r>
          <w:r>
            <w:rPr>
              <w:rFonts w:hint="eastAsia" w:ascii="黑体" w:hAnsi="黑体" w:eastAsia="黑体" w:cs="黑体"/>
              <w:bCs/>
              <w:sz w:val="32"/>
              <w:szCs w:val="32"/>
              <w:lang w:val="en-US" w:eastAsia="zh-CN"/>
            </w:rPr>
            <w:t>一、规划总则</w:t>
          </w:r>
          <w:r>
            <w:rPr>
              <w:sz w:val="32"/>
              <w:szCs w:val="32"/>
            </w:rPr>
            <w:tab/>
          </w:r>
          <w:r>
            <w:rPr>
              <w:sz w:val="32"/>
              <w:szCs w:val="32"/>
            </w:rPr>
            <w:fldChar w:fldCharType="begin"/>
          </w:r>
          <w:r>
            <w:rPr>
              <w:sz w:val="32"/>
              <w:szCs w:val="32"/>
            </w:rPr>
            <w:instrText xml:space="preserve"> PAGEREF _Toc27123 \h </w:instrText>
          </w:r>
          <w:r>
            <w:rPr>
              <w:sz w:val="32"/>
              <w:szCs w:val="32"/>
            </w:rPr>
            <w:fldChar w:fldCharType="separate"/>
          </w:r>
          <w:r>
            <w:rPr>
              <w:sz w:val="32"/>
              <w:szCs w:val="32"/>
            </w:rPr>
            <w:t>1</w:t>
          </w:r>
          <w:r>
            <w:rPr>
              <w:sz w:val="32"/>
              <w:szCs w:val="32"/>
            </w:rPr>
            <w:fldChar w:fldCharType="end"/>
          </w:r>
          <w:r>
            <w:rPr>
              <w:sz w:val="32"/>
              <w:szCs w:val="32"/>
            </w:rPr>
            <w:fldChar w:fldCharType="end"/>
          </w:r>
        </w:p>
        <w:p w14:paraId="5BAE10C6">
          <w:pPr>
            <w:pStyle w:val="13"/>
            <w:keepNext w:val="0"/>
            <w:keepLines w:val="0"/>
            <w:pageBreakBefore w:val="0"/>
            <w:widowControl w:val="0"/>
            <w:tabs>
              <w:tab w:val="right" w:leader="dot" w:pos="8846"/>
            </w:tabs>
            <w:kinsoku/>
            <w:wordWrap/>
            <w:overflowPunct/>
            <w:topLinePunct w:val="0"/>
            <w:autoSpaceDE/>
            <w:autoSpaceDN/>
            <w:bidi w:val="0"/>
            <w:adjustRightInd/>
            <w:snapToGrid/>
            <w:spacing w:line="560" w:lineRule="exact"/>
            <w:textAlignment w:val="auto"/>
            <w:rPr>
              <w:sz w:val="32"/>
              <w:szCs w:val="32"/>
            </w:rPr>
          </w:pPr>
          <w:r>
            <w:rPr>
              <w:sz w:val="32"/>
              <w:szCs w:val="32"/>
            </w:rPr>
            <w:fldChar w:fldCharType="begin"/>
          </w:r>
          <w:r>
            <w:rPr>
              <w:sz w:val="32"/>
              <w:szCs w:val="32"/>
            </w:rPr>
            <w:instrText xml:space="preserve"> HYPERLINK \l _Toc31690 </w:instrText>
          </w:r>
          <w:r>
            <w:rPr>
              <w:sz w:val="32"/>
              <w:szCs w:val="32"/>
            </w:rPr>
            <w:fldChar w:fldCharType="separate"/>
          </w:r>
          <w:r>
            <w:rPr>
              <w:rFonts w:hint="eastAsia" w:ascii="楷体_GB2312" w:hAnsi="楷体_GB2312" w:eastAsia="楷体_GB2312" w:cs="楷体_GB2312"/>
              <w:bCs w:val="0"/>
              <w:sz w:val="32"/>
              <w:szCs w:val="32"/>
              <w:lang w:val="en-US" w:eastAsia="zh-CN"/>
            </w:rPr>
            <w:t>（一）规划背景</w:t>
          </w:r>
          <w:r>
            <w:rPr>
              <w:sz w:val="32"/>
              <w:szCs w:val="32"/>
            </w:rPr>
            <w:tab/>
          </w:r>
          <w:r>
            <w:rPr>
              <w:sz w:val="32"/>
              <w:szCs w:val="32"/>
            </w:rPr>
            <w:fldChar w:fldCharType="begin"/>
          </w:r>
          <w:r>
            <w:rPr>
              <w:sz w:val="32"/>
              <w:szCs w:val="32"/>
            </w:rPr>
            <w:instrText xml:space="preserve"> PAGEREF _Toc31690 \h </w:instrText>
          </w:r>
          <w:r>
            <w:rPr>
              <w:sz w:val="32"/>
              <w:szCs w:val="32"/>
            </w:rPr>
            <w:fldChar w:fldCharType="separate"/>
          </w:r>
          <w:r>
            <w:rPr>
              <w:sz w:val="32"/>
              <w:szCs w:val="32"/>
            </w:rPr>
            <w:t>1</w:t>
          </w:r>
          <w:r>
            <w:rPr>
              <w:sz w:val="32"/>
              <w:szCs w:val="32"/>
            </w:rPr>
            <w:fldChar w:fldCharType="end"/>
          </w:r>
          <w:r>
            <w:rPr>
              <w:sz w:val="32"/>
              <w:szCs w:val="32"/>
            </w:rPr>
            <w:fldChar w:fldCharType="end"/>
          </w:r>
        </w:p>
        <w:p w14:paraId="52319D8C">
          <w:pPr>
            <w:pStyle w:val="13"/>
            <w:keepNext w:val="0"/>
            <w:keepLines w:val="0"/>
            <w:pageBreakBefore w:val="0"/>
            <w:widowControl w:val="0"/>
            <w:tabs>
              <w:tab w:val="right" w:leader="dot" w:pos="8846"/>
            </w:tabs>
            <w:kinsoku/>
            <w:wordWrap/>
            <w:overflowPunct/>
            <w:topLinePunct w:val="0"/>
            <w:autoSpaceDE/>
            <w:autoSpaceDN/>
            <w:bidi w:val="0"/>
            <w:adjustRightInd/>
            <w:snapToGrid/>
            <w:spacing w:line="560" w:lineRule="exact"/>
            <w:textAlignment w:val="auto"/>
            <w:rPr>
              <w:sz w:val="32"/>
              <w:szCs w:val="32"/>
            </w:rPr>
          </w:pPr>
          <w:r>
            <w:rPr>
              <w:sz w:val="32"/>
              <w:szCs w:val="32"/>
            </w:rPr>
            <w:fldChar w:fldCharType="begin"/>
          </w:r>
          <w:r>
            <w:rPr>
              <w:sz w:val="32"/>
              <w:szCs w:val="32"/>
            </w:rPr>
            <w:instrText xml:space="preserve"> HYPERLINK \l _Toc10366 </w:instrText>
          </w:r>
          <w:r>
            <w:rPr>
              <w:sz w:val="32"/>
              <w:szCs w:val="32"/>
            </w:rPr>
            <w:fldChar w:fldCharType="separate"/>
          </w:r>
          <w:r>
            <w:rPr>
              <w:rFonts w:hint="eastAsia" w:ascii="楷体_GB2312" w:hAnsi="楷体_GB2312" w:eastAsia="楷体_GB2312" w:cs="楷体_GB2312"/>
              <w:bCs w:val="0"/>
              <w:sz w:val="32"/>
              <w:szCs w:val="32"/>
              <w:highlight w:val="none"/>
              <w:lang w:val="en-US" w:eastAsia="zh-CN"/>
            </w:rPr>
            <w:t>（二）指导思想</w:t>
          </w:r>
          <w:r>
            <w:rPr>
              <w:sz w:val="32"/>
              <w:szCs w:val="32"/>
            </w:rPr>
            <w:tab/>
          </w:r>
          <w:r>
            <w:rPr>
              <w:sz w:val="32"/>
              <w:szCs w:val="32"/>
            </w:rPr>
            <w:fldChar w:fldCharType="begin"/>
          </w:r>
          <w:r>
            <w:rPr>
              <w:sz w:val="32"/>
              <w:szCs w:val="32"/>
            </w:rPr>
            <w:instrText xml:space="preserve"> PAGEREF _Toc10366 \h </w:instrText>
          </w:r>
          <w:r>
            <w:rPr>
              <w:sz w:val="32"/>
              <w:szCs w:val="32"/>
            </w:rPr>
            <w:fldChar w:fldCharType="separate"/>
          </w:r>
          <w:r>
            <w:rPr>
              <w:sz w:val="32"/>
              <w:szCs w:val="32"/>
            </w:rPr>
            <w:t>3</w:t>
          </w:r>
          <w:r>
            <w:rPr>
              <w:sz w:val="32"/>
              <w:szCs w:val="32"/>
            </w:rPr>
            <w:fldChar w:fldCharType="end"/>
          </w:r>
          <w:r>
            <w:rPr>
              <w:sz w:val="32"/>
              <w:szCs w:val="32"/>
            </w:rPr>
            <w:fldChar w:fldCharType="end"/>
          </w:r>
        </w:p>
        <w:p w14:paraId="06FCCACC">
          <w:pPr>
            <w:pStyle w:val="13"/>
            <w:keepNext w:val="0"/>
            <w:keepLines w:val="0"/>
            <w:pageBreakBefore w:val="0"/>
            <w:widowControl w:val="0"/>
            <w:tabs>
              <w:tab w:val="right" w:leader="dot" w:pos="8846"/>
            </w:tabs>
            <w:kinsoku/>
            <w:wordWrap/>
            <w:overflowPunct/>
            <w:topLinePunct w:val="0"/>
            <w:autoSpaceDE/>
            <w:autoSpaceDN/>
            <w:bidi w:val="0"/>
            <w:adjustRightInd/>
            <w:snapToGrid/>
            <w:spacing w:line="560" w:lineRule="exact"/>
            <w:textAlignment w:val="auto"/>
            <w:rPr>
              <w:sz w:val="32"/>
              <w:szCs w:val="32"/>
            </w:rPr>
          </w:pPr>
          <w:r>
            <w:rPr>
              <w:sz w:val="32"/>
              <w:szCs w:val="32"/>
            </w:rPr>
            <w:fldChar w:fldCharType="begin"/>
          </w:r>
          <w:r>
            <w:rPr>
              <w:sz w:val="32"/>
              <w:szCs w:val="32"/>
            </w:rPr>
            <w:instrText xml:space="preserve"> HYPERLINK \l _Toc16107 </w:instrText>
          </w:r>
          <w:r>
            <w:rPr>
              <w:sz w:val="32"/>
              <w:szCs w:val="32"/>
            </w:rPr>
            <w:fldChar w:fldCharType="separate"/>
          </w:r>
          <w:r>
            <w:rPr>
              <w:rFonts w:hint="eastAsia" w:ascii="楷体_GB2312" w:hAnsi="楷体_GB2312" w:eastAsia="楷体_GB2312" w:cs="楷体_GB2312"/>
              <w:bCs w:val="0"/>
              <w:sz w:val="32"/>
              <w:szCs w:val="32"/>
              <w:highlight w:val="none"/>
              <w:lang w:val="en-US" w:eastAsia="zh-CN"/>
            </w:rPr>
            <w:t>（三）</w:t>
          </w:r>
          <w:r>
            <w:rPr>
              <w:rFonts w:hint="default" w:ascii="楷体_GB2312" w:hAnsi="楷体_GB2312" w:eastAsia="楷体_GB2312" w:cs="楷体_GB2312"/>
              <w:bCs w:val="0"/>
              <w:sz w:val="32"/>
              <w:szCs w:val="32"/>
              <w:highlight w:val="none"/>
              <w:lang w:val="en-US" w:eastAsia="zh-CN"/>
            </w:rPr>
            <w:t>规划原则</w:t>
          </w:r>
          <w:r>
            <w:rPr>
              <w:sz w:val="32"/>
              <w:szCs w:val="32"/>
            </w:rPr>
            <w:tab/>
          </w:r>
          <w:r>
            <w:rPr>
              <w:sz w:val="32"/>
              <w:szCs w:val="32"/>
            </w:rPr>
            <w:fldChar w:fldCharType="begin"/>
          </w:r>
          <w:r>
            <w:rPr>
              <w:sz w:val="32"/>
              <w:szCs w:val="32"/>
            </w:rPr>
            <w:instrText xml:space="preserve"> PAGEREF _Toc16107 \h </w:instrText>
          </w:r>
          <w:r>
            <w:rPr>
              <w:sz w:val="32"/>
              <w:szCs w:val="32"/>
            </w:rPr>
            <w:fldChar w:fldCharType="separate"/>
          </w:r>
          <w:r>
            <w:rPr>
              <w:sz w:val="32"/>
              <w:szCs w:val="32"/>
            </w:rPr>
            <w:t>3</w:t>
          </w:r>
          <w:r>
            <w:rPr>
              <w:sz w:val="32"/>
              <w:szCs w:val="32"/>
            </w:rPr>
            <w:fldChar w:fldCharType="end"/>
          </w:r>
          <w:r>
            <w:rPr>
              <w:sz w:val="32"/>
              <w:szCs w:val="32"/>
            </w:rPr>
            <w:fldChar w:fldCharType="end"/>
          </w:r>
        </w:p>
        <w:p w14:paraId="6B342861">
          <w:pPr>
            <w:pStyle w:val="13"/>
            <w:keepNext w:val="0"/>
            <w:keepLines w:val="0"/>
            <w:pageBreakBefore w:val="0"/>
            <w:widowControl w:val="0"/>
            <w:tabs>
              <w:tab w:val="right" w:leader="dot" w:pos="8846"/>
            </w:tabs>
            <w:kinsoku/>
            <w:wordWrap/>
            <w:overflowPunct/>
            <w:topLinePunct w:val="0"/>
            <w:autoSpaceDE/>
            <w:autoSpaceDN/>
            <w:bidi w:val="0"/>
            <w:adjustRightInd/>
            <w:snapToGrid/>
            <w:spacing w:line="560" w:lineRule="exact"/>
            <w:textAlignment w:val="auto"/>
            <w:rPr>
              <w:sz w:val="32"/>
              <w:szCs w:val="32"/>
            </w:rPr>
          </w:pPr>
          <w:r>
            <w:rPr>
              <w:sz w:val="32"/>
              <w:szCs w:val="32"/>
            </w:rPr>
            <w:fldChar w:fldCharType="begin"/>
          </w:r>
          <w:r>
            <w:rPr>
              <w:sz w:val="32"/>
              <w:szCs w:val="32"/>
            </w:rPr>
            <w:instrText xml:space="preserve"> HYPERLINK \l _Toc7283 </w:instrText>
          </w:r>
          <w:r>
            <w:rPr>
              <w:sz w:val="32"/>
              <w:szCs w:val="32"/>
            </w:rPr>
            <w:fldChar w:fldCharType="separate"/>
          </w:r>
          <w:r>
            <w:rPr>
              <w:rFonts w:hint="eastAsia" w:ascii="楷体_GB2312" w:hAnsi="楷体_GB2312" w:eastAsia="楷体_GB2312" w:cs="楷体_GB2312"/>
              <w:bCs w:val="0"/>
              <w:sz w:val="32"/>
              <w:szCs w:val="32"/>
              <w:highlight w:val="none"/>
              <w:lang w:val="en-US" w:eastAsia="zh-CN"/>
            </w:rPr>
            <w:t>（四）</w:t>
          </w:r>
          <w:r>
            <w:rPr>
              <w:rFonts w:hint="default" w:ascii="楷体_GB2312" w:hAnsi="楷体_GB2312" w:eastAsia="楷体_GB2312" w:cs="楷体_GB2312"/>
              <w:bCs w:val="0"/>
              <w:sz w:val="32"/>
              <w:szCs w:val="32"/>
              <w:highlight w:val="none"/>
              <w:lang w:val="en-US" w:eastAsia="zh-CN"/>
            </w:rPr>
            <w:t>规划依据</w:t>
          </w:r>
          <w:r>
            <w:rPr>
              <w:sz w:val="32"/>
              <w:szCs w:val="32"/>
            </w:rPr>
            <w:tab/>
          </w:r>
          <w:r>
            <w:rPr>
              <w:sz w:val="32"/>
              <w:szCs w:val="32"/>
            </w:rPr>
            <w:fldChar w:fldCharType="begin"/>
          </w:r>
          <w:r>
            <w:rPr>
              <w:sz w:val="32"/>
              <w:szCs w:val="32"/>
            </w:rPr>
            <w:instrText xml:space="preserve"> PAGEREF _Toc7283 \h </w:instrText>
          </w:r>
          <w:r>
            <w:rPr>
              <w:sz w:val="32"/>
              <w:szCs w:val="32"/>
            </w:rPr>
            <w:fldChar w:fldCharType="separate"/>
          </w:r>
          <w:r>
            <w:rPr>
              <w:sz w:val="32"/>
              <w:szCs w:val="32"/>
            </w:rPr>
            <w:t>4</w:t>
          </w:r>
          <w:r>
            <w:rPr>
              <w:sz w:val="32"/>
              <w:szCs w:val="32"/>
            </w:rPr>
            <w:fldChar w:fldCharType="end"/>
          </w:r>
          <w:r>
            <w:rPr>
              <w:sz w:val="32"/>
              <w:szCs w:val="32"/>
            </w:rPr>
            <w:fldChar w:fldCharType="end"/>
          </w:r>
        </w:p>
        <w:p w14:paraId="2FD87D51">
          <w:pPr>
            <w:pStyle w:val="13"/>
            <w:keepNext w:val="0"/>
            <w:keepLines w:val="0"/>
            <w:pageBreakBefore w:val="0"/>
            <w:widowControl w:val="0"/>
            <w:tabs>
              <w:tab w:val="right" w:leader="dot" w:pos="8846"/>
            </w:tabs>
            <w:kinsoku/>
            <w:wordWrap/>
            <w:overflowPunct/>
            <w:topLinePunct w:val="0"/>
            <w:autoSpaceDE/>
            <w:autoSpaceDN/>
            <w:bidi w:val="0"/>
            <w:adjustRightInd/>
            <w:snapToGrid/>
            <w:spacing w:line="560" w:lineRule="exact"/>
            <w:textAlignment w:val="auto"/>
            <w:rPr>
              <w:sz w:val="32"/>
              <w:szCs w:val="32"/>
            </w:rPr>
          </w:pPr>
          <w:r>
            <w:rPr>
              <w:sz w:val="32"/>
              <w:szCs w:val="32"/>
            </w:rPr>
            <w:fldChar w:fldCharType="begin"/>
          </w:r>
          <w:r>
            <w:rPr>
              <w:sz w:val="32"/>
              <w:szCs w:val="32"/>
            </w:rPr>
            <w:instrText xml:space="preserve"> HYPERLINK \l _Toc32286 </w:instrText>
          </w:r>
          <w:r>
            <w:rPr>
              <w:sz w:val="32"/>
              <w:szCs w:val="32"/>
            </w:rPr>
            <w:fldChar w:fldCharType="separate"/>
          </w:r>
          <w:r>
            <w:rPr>
              <w:rFonts w:hint="eastAsia" w:ascii="楷体_GB2312" w:hAnsi="楷体_GB2312" w:eastAsia="楷体_GB2312" w:cs="楷体_GB2312"/>
              <w:bCs w:val="0"/>
              <w:sz w:val="32"/>
              <w:szCs w:val="32"/>
              <w:highlight w:val="none"/>
              <w:lang w:val="en-US" w:eastAsia="zh-CN"/>
            </w:rPr>
            <w:t>（五）</w:t>
          </w:r>
          <w:r>
            <w:rPr>
              <w:rFonts w:hint="default" w:ascii="楷体_GB2312" w:hAnsi="楷体_GB2312" w:eastAsia="楷体_GB2312" w:cs="楷体_GB2312"/>
              <w:bCs w:val="0"/>
              <w:sz w:val="32"/>
              <w:szCs w:val="32"/>
              <w:highlight w:val="none"/>
              <w:lang w:val="en-US" w:eastAsia="zh-CN"/>
            </w:rPr>
            <w:t>规划对象</w:t>
          </w:r>
          <w:r>
            <w:rPr>
              <w:sz w:val="32"/>
              <w:szCs w:val="32"/>
            </w:rPr>
            <w:tab/>
          </w:r>
          <w:r>
            <w:rPr>
              <w:sz w:val="32"/>
              <w:szCs w:val="32"/>
            </w:rPr>
            <w:fldChar w:fldCharType="begin"/>
          </w:r>
          <w:r>
            <w:rPr>
              <w:sz w:val="32"/>
              <w:szCs w:val="32"/>
            </w:rPr>
            <w:instrText xml:space="preserve"> PAGEREF _Toc32286 \h </w:instrText>
          </w:r>
          <w:r>
            <w:rPr>
              <w:sz w:val="32"/>
              <w:szCs w:val="32"/>
            </w:rPr>
            <w:fldChar w:fldCharType="separate"/>
          </w:r>
          <w:r>
            <w:rPr>
              <w:sz w:val="32"/>
              <w:szCs w:val="32"/>
            </w:rPr>
            <w:t>6</w:t>
          </w:r>
          <w:r>
            <w:rPr>
              <w:sz w:val="32"/>
              <w:szCs w:val="32"/>
            </w:rPr>
            <w:fldChar w:fldCharType="end"/>
          </w:r>
          <w:r>
            <w:rPr>
              <w:sz w:val="32"/>
              <w:szCs w:val="32"/>
            </w:rPr>
            <w:fldChar w:fldCharType="end"/>
          </w:r>
        </w:p>
        <w:p w14:paraId="4B55DBB7">
          <w:pPr>
            <w:pStyle w:val="13"/>
            <w:keepNext w:val="0"/>
            <w:keepLines w:val="0"/>
            <w:pageBreakBefore w:val="0"/>
            <w:widowControl w:val="0"/>
            <w:tabs>
              <w:tab w:val="right" w:leader="dot" w:pos="8846"/>
            </w:tabs>
            <w:kinsoku/>
            <w:wordWrap/>
            <w:overflowPunct/>
            <w:topLinePunct w:val="0"/>
            <w:autoSpaceDE/>
            <w:autoSpaceDN/>
            <w:bidi w:val="0"/>
            <w:adjustRightInd/>
            <w:snapToGrid/>
            <w:spacing w:line="560" w:lineRule="exact"/>
            <w:textAlignment w:val="auto"/>
            <w:rPr>
              <w:sz w:val="32"/>
              <w:szCs w:val="32"/>
            </w:rPr>
          </w:pPr>
          <w:r>
            <w:rPr>
              <w:sz w:val="32"/>
              <w:szCs w:val="32"/>
            </w:rPr>
            <w:fldChar w:fldCharType="begin"/>
          </w:r>
          <w:r>
            <w:rPr>
              <w:sz w:val="32"/>
              <w:szCs w:val="32"/>
            </w:rPr>
            <w:instrText xml:space="preserve"> HYPERLINK \l _Toc5193 </w:instrText>
          </w:r>
          <w:r>
            <w:rPr>
              <w:sz w:val="32"/>
              <w:szCs w:val="32"/>
            </w:rPr>
            <w:fldChar w:fldCharType="separate"/>
          </w:r>
          <w:r>
            <w:rPr>
              <w:rFonts w:hint="eastAsia" w:ascii="楷体_GB2312" w:hAnsi="楷体_GB2312" w:eastAsia="楷体_GB2312" w:cs="楷体_GB2312"/>
              <w:bCs w:val="0"/>
              <w:sz w:val="32"/>
              <w:szCs w:val="32"/>
              <w:highlight w:val="none"/>
              <w:lang w:val="en-US" w:eastAsia="zh-CN"/>
            </w:rPr>
            <w:t>（六）</w:t>
          </w:r>
          <w:r>
            <w:rPr>
              <w:rFonts w:hint="default" w:ascii="楷体_GB2312" w:hAnsi="楷体_GB2312" w:eastAsia="楷体_GB2312" w:cs="楷体_GB2312"/>
              <w:bCs w:val="0"/>
              <w:sz w:val="32"/>
              <w:szCs w:val="32"/>
              <w:highlight w:val="none"/>
              <w:lang w:val="en-US" w:eastAsia="zh-CN"/>
            </w:rPr>
            <w:t>规划范围和期限</w:t>
          </w:r>
          <w:r>
            <w:rPr>
              <w:sz w:val="32"/>
              <w:szCs w:val="32"/>
            </w:rPr>
            <w:tab/>
          </w:r>
          <w:r>
            <w:rPr>
              <w:sz w:val="32"/>
              <w:szCs w:val="32"/>
            </w:rPr>
            <w:fldChar w:fldCharType="begin"/>
          </w:r>
          <w:r>
            <w:rPr>
              <w:sz w:val="32"/>
              <w:szCs w:val="32"/>
            </w:rPr>
            <w:instrText xml:space="preserve"> PAGEREF _Toc5193 \h </w:instrText>
          </w:r>
          <w:r>
            <w:rPr>
              <w:sz w:val="32"/>
              <w:szCs w:val="32"/>
            </w:rPr>
            <w:fldChar w:fldCharType="separate"/>
          </w:r>
          <w:r>
            <w:rPr>
              <w:sz w:val="32"/>
              <w:szCs w:val="32"/>
            </w:rPr>
            <w:t>7</w:t>
          </w:r>
          <w:r>
            <w:rPr>
              <w:sz w:val="32"/>
              <w:szCs w:val="32"/>
            </w:rPr>
            <w:fldChar w:fldCharType="end"/>
          </w:r>
          <w:r>
            <w:rPr>
              <w:sz w:val="32"/>
              <w:szCs w:val="32"/>
            </w:rPr>
            <w:fldChar w:fldCharType="end"/>
          </w:r>
        </w:p>
        <w:p w14:paraId="58254B25">
          <w:pPr>
            <w:pStyle w:val="12"/>
            <w:keepNext w:val="0"/>
            <w:keepLines w:val="0"/>
            <w:pageBreakBefore w:val="0"/>
            <w:widowControl w:val="0"/>
            <w:tabs>
              <w:tab w:val="right" w:leader="dot" w:pos="8846"/>
            </w:tabs>
            <w:kinsoku/>
            <w:wordWrap/>
            <w:overflowPunct/>
            <w:topLinePunct w:val="0"/>
            <w:autoSpaceDE/>
            <w:autoSpaceDN/>
            <w:bidi w:val="0"/>
            <w:adjustRightInd/>
            <w:snapToGrid/>
            <w:spacing w:line="560" w:lineRule="exact"/>
            <w:textAlignment w:val="auto"/>
            <w:rPr>
              <w:sz w:val="32"/>
              <w:szCs w:val="32"/>
            </w:rPr>
          </w:pPr>
          <w:r>
            <w:rPr>
              <w:sz w:val="32"/>
              <w:szCs w:val="32"/>
            </w:rPr>
            <w:fldChar w:fldCharType="begin"/>
          </w:r>
          <w:r>
            <w:rPr>
              <w:sz w:val="32"/>
              <w:szCs w:val="32"/>
            </w:rPr>
            <w:instrText xml:space="preserve"> HYPERLINK \l _Toc25206 </w:instrText>
          </w:r>
          <w:r>
            <w:rPr>
              <w:sz w:val="32"/>
              <w:szCs w:val="32"/>
            </w:rPr>
            <w:fldChar w:fldCharType="separate"/>
          </w:r>
          <w:r>
            <w:rPr>
              <w:rFonts w:hint="eastAsia" w:ascii="黑体" w:hAnsi="黑体" w:eastAsia="黑体" w:cs="黑体"/>
              <w:bCs/>
              <w:sz w:val="32"/>
              <w:szCs w:val="32"/>
              <w:lang w:val="en-US" w:eastAsia="zh-CN"/>
            </w:rPr>
            <w:t>二、现状分析和规划解读</w:t>
          </w:r>
          <w:r>
            <w:rPr>
              <w:sz w:val="32"/>
              <w:szCs w:val="32"/>
            </w:rPr>
            <w:tab/>
          </w:r>
          <w:r>
            <w:rPr>
              <w:sz w:val="32"/>
              <w:szCs w:val="32"/>
            </w:rPr>
            <w:fldChar w:fldCharType="begin"/>
          </w:r>
          <w:r>
            <w:rPr>
              <w:sz w:val="32"/>
              <w:szCs w:val="32"/>
            </w:rPr>
            <w:instrText xml:space="preserve"> PAGEREF _Toc25206 \h </w:instrText>
          </w:r>
          <w:r>
            <w:rPr>
              <w:sz w:val="32"/>
              <w:szCs w:val="32"/>
            </w:rPr>
            <w:fldChar w:fldCharType="separate"/>
          </w:r>
          <w:r>
            <w:rPr>
              <w:sz w:val="32"/>
              <w:szCs w:val="32"/>
            </w:rPr>
            <w:t>8</w:t>
          </w:r>
          <w:r>
            <w:rPr>
              <w:sz w:val="32"/>
              <w:szCs w:val="32"/>
            </w:rPr>
            <w:fldChar w:fldCharType="end"/>
          </w:r>
          <w:r>
            <w:rPr>
              <w:sz w:val="32"/>
              <w:szCs w:val="32"/>
            </w:rPr>
            <w:fldChar w:fldCharType="end"/>
          </w:r>
        </w:p>
        <w:p w14:paraId="75D8DED5">
          <w:pPr>
            <w:pStyle w:val="13"/>
            <w:keepNext w:val="0"/>
            <w:keepLines w:val="0"/>
            <w:pageBreakBefore w:val="0"/>
            <w:widowControl w:val="0"/>
            <w:tabs>
              <w:tab w:val="right" w:leader="dot" w:pos="8846"/>
            </w:tabs>
            <w:kinsoku/>
            <w:wordWrap/>
            <w:overflowPunct/>
            <w:topLinePunct w:val="0"/>
            <w:autoSpaceDE/>
            <w:autoSpaceDN/>
            <w:bidi w:val="0"/>
            <w:adjustRightInd/>
            <w:snapToGrid/>
            <w:spacing w:line="560" w:lineRule="exact"/>
            <w:textAlignment w:val="auto"/>
            <w:rPr>
              <w:sz w:val="32"/>
              <w:szCs w:val="32"/>
            </w:rPr>
          </w:pPr>
          <w:r>
            <w:rPr>
              <w:sz w:val="32"/>
              <w:szCs w:val="32"/>
            </w:rPr>
            <w:fldChar w:fldCharType="begin"/>
          </w:r>
          <w:r>
            <w:rPr>
              <w:sz w:val="32"/>
              <w:szCs w:val="32"/>
            </w:rPr>
            <w:instrText xml:space="preserve"> HYPERLINK \l _Toc16210 </w:instrText>
          </w:r>
          <w:r>
            <w:rPr>
              <w:sz w:val="32"/>
              <w:szCs w:val="32"/>
            </w:rPr>
            <w:fldChar w:fldCharType="separate"/>
          </w:r>
          <w:r>
            <w:rPr>
              <w:rFonts w:hint="eastAsia" w:ascii="楷体_GB2312" w:hAnsi="楷体_GB2312" w:eastAsia="楷体_GB2312" w:cs="楷体_GB2312"/>
              <w:bCs w:val="0"/>
              <w:sz w:val="32"/>
              <w:szCs w:val="32"/>
              <w:highlight w:val="none"/>
              <w:lang w:val="en-US" w:eastAsia="zh-CN"/>
            </w:rPr>
            <w:t>（一）建筑垃圾治理现状及问题分析</w:t>
          </w:r>
          <w:r>
            <w:rPr>
              <w:sz w:val="32"/>
              <w:szCs w:val="32"/>
            </w:rPr>
            <w:tab/>
          </w:r>
          <w:r>
            <w:rPr>
              <w:sz w:val="32"/>
              <w:szCs w:val="32"/>
            </w:rPr>
            <w:fldChar w:fldCharType="begin"/>
          </w:r>
          <w:r>
            <w:rPr>
              <w:sz w:val="32"/>
              <w:szCs w:val="32"/>
            </w:rPr>
            <w:instrText xml:space="preserve"> PAGEREF _Toc16210 \h </w:instrText>
          </w:r>
          <w:r>
            <w:rPr>
              <w:sz w:val="32"/>
              <w:szCs w:val="32"/>
            </w:rPr>
            <w:fldChar w:fldCharType="separate"/>
          </w:r>
          <w:r>
            <w:rPr>
              <w:sz w:val="32"/>
              <w:szCs w:val="32"/>
            </w:rPr>
            <w:t>8</w:t>
          </w:r>
          <w:r>
            <w:rPr>
              <w:sz w:val="32"/>
              <w:szCs w:val="32"/>
            </w:rPr>
            <w:fldChar w:fldCharType="end"/>
          </w:r>
          <w:r>
            <w:rPr>
              <w:sz w:val="32"/>
              <w:szCs w:val="32"/>
            </w:rPr>
            <w:fldChar w:fldCharType="end"/>
          </w:r>
        </w:p>
        <w:p w14:paraId="6FDCE0FA">
          <w:pPr>
            <w:pStyle w:val="13"/>
            <w:keepNext w:val="0"/>
            <w:keepLines w:val="0"/>
            <w:pageBreakBefore w:val="0"/>
            <w:widowControl w:val="0"/>
            <w:tabs>
              <w:tab w:val="right" w:leader="dot" w:pos="8846"/>
            </w:tabs>
            <w:kinsoku/>
            <w:wordWrap/>
            <w:overflowPunct/>
            <w:topLinePunct w:val="0"/>
            <w:autoSpaceDE/>
            <w:autoSpaceDN/>
            <w:bidi w:val="0"/>
            <w:adjustRightInd/>
            <w:snapToGrid/>
            <w:spacing w:line="560" w:lineRule="exact"/>
            <w:textAlignment w:val="auto"/>
            <w:rPr>
              <w:sz w:val="32"/>
              <w:szCs w:val="32"/>
            </w:rPr>
          </w:pPr>
          <w:r>
            <w:rPr>
              <w:sz w:val="32"/>
              <w:szCs w:val="32"/>
            </w:rPr>
            <w:fldChar w:fldCharType="begin"/>
          </w:r>
          <w:r>
            <w:rPr>
              <w:sz w:val="32"/>
              <w:szCs w:val="32"/>
            </w:rPr>
            <w:instrText xml:space="preserve"> HYPERLINK \l _Toc9801 </w:instrText>
          </w:r>
          <w:r>
            <w:rPr>
              <w:sz w:val="32"/>
              <w:szCs w:val="32"/>
            </w:rPr>
            <w:fldChar w:fldCharType="separate"/>
          </w:r>
          <w:r>
            <w:rPr>
              <w:rFonts w:hint="eastAsia" w:ascii="楷体_GB2312" w:hAnsi="楷体_GB2312" w:eastAsia="楷体_GB2312" w:cs="楷体_GB2312"/>
              <w:bCs w:val="0"/>
              <w:sz w:val="32"/>
              <w:szCs w:val="32"/>
              <w:highlight w:val="none"/>
              <w:lang w:val="en-US" w:eastAsia="zh-CN"/>
            </w:rPr>
            <w:t>（二）相关规划解读</w:t>
          </w:r>
          <w:r>
            <w:rPr>
              <w:sz w:val="32"/>
              <w:szCs w:val="32"/>
            </w:rPr>
            <w:tab/>
          </w:r>
          <w:r>
            <w:rPr>
              <w:sz w:val="32"/>
              <w:szCs w:val="32"/>
            </w:rPr>
            <w:fldChar w:fldCharType="begin"/>
          </w:r>
          <w:r>
            <w:rPr>
              <w:sz w:val="32"/>
              <w:szCs w:val="32"/>
            </w:rPr>
            <w:instrText xml:space="preserve"> PAGEREF _Toc9801 \h </w:instrText>
          </w:r>
          <w:r>
            <w:rPr>
              <w:sz w:val="32"/>
              <w:szCs w:val="32"/>
            </w:rPr>
            <w:fldChar w:fldCharType="separate"/>
          </w:r>
          <w:r>
            <w:rPr>
              <w:sz w:val="32"/>
              <w:szCs w:val="32"/>
            </w:rPr>
            <w:t>12</w:t>
          </w:r>
          <w:r>
            <w:rPr>
              <w:sz w:val="32"/>
              <w:szCs w:val="32"/>
            </w:rPr>
            <w:fldChar w:fldCharType="end"/>
          </w:r>
          <w:r>
            <w:rPr>
              <w:sz w:val="32"/>
              <w:szCs w:val="32"/>
            </w:rPr>
            <w:fldChar w:fldCharType="end"/>
          </w:r>
        </w:p>
        <w:p w14:paraId="1598087E">
          <w:pPr>
            <w:pStyle w:val="12"/>
            <w:keepNext w:val="0"/>
            <w:keepLines w:val="0"/>
            <w:pageBreakBefore w:val="0"/>
            <w:widowControl w:val="0"/>
            <w:tabs>
              <w:tab w:val="right" w:leader="dot" w:pos="8846"/>
            </w:tabs>
            <w:kinsoku/>
            <w:wordWrap/>
            <w:overflowPunct/>
            <w:topLinePunct w:val="0"/>
            <w:autoSpaceDE/>
            <w:autoSpaceDN/>
            <w:bidi w:val="0"/>
            <w:adjustRightInd/>
            <w:snapToGrid/>
            <w:spacing w:line="560" w:lineRule="exact"/>
            <w:textAlignment w:val="auto"/>
            <w:rPr>
              <w:sz w:val="32"/>
              <w:szCs w:val="32"/>
            </w:rPr>
          </w:pPr>
          <w:r>
            <w:rPr>
              <w:sz w:val="32"/>
              <w:szCs w:val="32"/>
            </w:rPr>
            <w:fldChar w:fldCharType="begin"/>
          </w:r>
          <w:r>
            <w:rPr>
              <w:sz w:val="32"/>
              <w:szCs w:val="32"/>
            </w:rPr>
            <w:instrText xml:space="preserve"> HYPERLINK \l _Toc15791 </w:instrText>
          </w:r>
          <w:r>
            <w:rPr>
              <w:sz w:val="32"/>
              <w:szCs w:val="32"/>
            </w:rPr>
            <w:fldChar w:fldCharType="separate"/>
          </w:r>
          <w:r>
            <w:rPr>
              <w:rFonts w:hint="eastAsia" w:ascii="黑体" w:hAnsi="黑体" w:eastAsia="黑体" w:cs="黑体"/>
              <w:bCs/>
              <w:sz w:val="32"/>
              <w:szCs w:val="32"/>
              <w:lang w:val="en-US" w:eastAsia="zh-CN"/>
            </w:rPr>
            <w:t>三、规划目标</w:t>
          </w:r>
          <w:r>
            <w:rPr>
              <w:sz w:val="32"/>
              <w:szCs w:val="32"/>
            </w:rPr>
            <w:tab/>
          </w:r>
          <w:r>
            <w:rPr>
              <w:sz w:val="32"/>
              <w:szCs w:val="32"/>
            </w:rPr>
            <w:fldChar w:fldCharType="begin"/>
          </w:r>
          <w:r>
            <w:rPr>
              <w:sz w:val="32"/>
              <w:szCs w:val="32"/>
            </w:rPr>
            <w:instrText xml:space="preserve"> PAGEREF _Toc15791 \h </w:instrText>
          </w:r>
          <w:r>
            <w:rPr>
              <w:sz w:val="32"/>
              <w:szCs w:val="32"/>
            </w:rPr>
            <w:fldChar w:fldCharType="separate"/>
          </w:r>
          <w:r>
            <w:rPr>
              <w:sz w:val="32"/>
              <w:szCs w:val="32"/>
            </w:rPr>
            <w:t>15</w:t>
          </w:r>
          <w:r>
            <w:rPr>
              <w:sz w:val="32"/>
              <w:szCs w:val="32"/>
            </w:rPr>
            <w:fldChar w:fldCharType="end"/>
          </w:r>
          <w:r>
            <w:rPr>
              <w:sz w:val="32"/>
              <w:szCs w:val="32"/>
            </w:rPr>
            <w:fldChar w:fldCharType="end"/>
          </w:r>
        </w:p>
        <w:p w14:paraId="5791098C">
          <w:pPr>
            <w:pStyle w:val="13"/>
            <w:keepNext w:val="0"/>
            <w:keepLines w:val="0"/>
            <w:pageBreakBefore w:val="0"/>
            <w:widowControl w:val="0"/>
            <w:tabs>
              <w:tab w:val="right" w:leader="dot" w:pos="8846"/>
            </w:tabs>
            <w:kinsoku/>
            <w:wordWrap/>
            <w:overflowPunct/>
            <w:topLinePunct w:val="0"/>
            <w:autoSpaceDE/>
            <w:autoSpaceDN/>
            <w:bidi w:val="0"/>
            <w:adjustRightInd/>
            <w:snapToGrid/>
            <w:spacing w:line="560" w:lineRule="exact"/>
            <w:textAlignment w:val="auto"/>
            <w:rPr>
              <w:sz w:val="32"/>
              <w:szCs w:val="32"/>
            </w:rPr>
          </w:pPr>
          <w:r>
            <w:rPr>
              <w:sz w:val="32"/>
              <w:szCs w:val="32"/>
            </w:rPr>
            <w:fldChar w:fldCharType="begin"/>
          </w:r>
          <w:r>
            <w:rPr>
              <w:sz w:val="32"/>
              <w:szCs w:val="32"/>
            </w:rPr>
            <w:instrText xml:space="preserve"> HYPERLINK \l _Toc972 </w:instrText>
          </w:r>
          <w:r>
            <w:rPr>
              <w:sz w:val="32"/>
              <w:szCs w:val="32"/>
            </w:rPr>
            <w:fldChar w:fldCharType="separate"/>
          </w:r>
          <w:r>
            <w:rPr>
              <w:rFonts w:hint="eastAsia" w:ascii="楷体_GB2312" w:hAnsi="楷体_GB2312" w:eastAsia="楷体_GB2312" w:cs="楷体_GB2312"/>
              <w:bCs w:val="0"/>
              <w:sz w:val="32"/>
              <w:szCs w:val="32"/>
              <w:lang w:val="en-US" w:eastAsia="zh-CN"/>
            </w:rPr>
            <w:t>（一）总体目标</w:t>
          </w:r>
          <w:r>
            <w:rPr>
              <w:sz w:val="32"/>
              <w:szCs w:val="32"/>
            </w:rPr>
            <w:tab/>
          </w:r>
          <w:r>
            <w:rPr>
              <w:sz w:val="32"/>
              <w:szCs w:val="32"/>
            </w:rPr>
            <w:fldChar w:fldCharType="begin"/>
          </w:r>
          <w:r>
            <w:rPr>
              <w:sz w:val="32"/>
              <w:szCs w:val="32"/>
            </w:rPr>
            <w:instrText xml:space="preserve"> PAGEREF _Toc972 \h </w:instrText>
          </w:r>
          <w:r>
            <w:rPr>
              <w:sz w:val="32"/>
              <w:szCs w:val="32"/>
            </w:rPr>
            <w:fldChar w:fldCharType="separate"/>
          </w:r>
          <w:r>
            <w:rPr>
              <w:sz w:val="32"/>
              <w:szCs w:val="32"/>
            </w:rPr>
            <w:t>15</w:t>
          </w:r>
          <w:r>
            <w:rPr>
              <w:sz w:val="32"/>
              <w:szCs w:val="32"/>
            </w:rPr>
            <w:fldChar w:fldCharType="end"/>
          </w:r>
          <w:r>
            <w:rPr>
              <w:sz w:val="32"/>
              <w:szCs w:val="32"/>
            </w:rPr>
            <w:fldChar w:fldCharType="end"/>
          </w:r>
        </w:p>
        <w:p w14:paraId="27EE9B98">
          <w:pPr>
            <w:pStyle w:val="13"/>
            <w:keepNext w:val="0"/>
            <w:keepLines w:val="0"/>
            <w:pageBreakBefore w:val="0"/>
            <w:widowControl w:val="0"/>
            <w:tabs>
              <w:tab w:val="right" w:leader="dot" w:pos="8846"/>
            </w:tabs>
            <w:kinsoku/>
            <w:wordWrap/>
            <w:overflowPunct/>
            <w:topLinePunct w:val="0"/>
            <w:autoSpaceDE/>
            <w:autoSpaceDN/>
            <w:bidi w:val="0"/>
            <w:adjustRightInd/>
            <w:snapToGrid/>
            <w:spacing w:line="560" w:lineRule="exact"/>
            <w:textAlignment w:val="auto"/>
            <w:rPr>
              <w:sz w:val="32"/>
              <w:szCs w:val="32"/>
            </w:rPr>
          </w:pPr>
          <w:r>
            <w:rPr>
              <w:sz w:val="32"/>
              <w:szCs w:val="32"/>
            </w:rPr>
            <w:fldChar w:fldCharType="begin"/>
          </w:r>
          <w:r>
            <w:rPr>
              <w:sz w:val="32"/>
              <w:szCs w:val="32"/>
            </w:rPr>
            <w:instrText xml:space="preserve"> HYPERLINK \l _Toc30966 </w:instrText>
          </w:r>
          <w:r>
            <w:rPr>
              <w:sz w:val="32"/>
              <w:szCs w:val="32"/>
            </w:rPr>
            <w:fldChar w:fldCharType="separate"/>
          </w:r>
          <w:r>
            <w:rPr>
              <w:rFonts w:hint="eastAsia" w:ascii="楷体_GB2312" w:hAnsi="楷体_GB2312" w:eastAsia="楷体_GB2312" w:cs="楷体_GB2312"/>
              <w:bCs w:val="0"/>
              <w:sz w:val="32"/>
              <w:szCs w:val="32"/>
              <w:lang w:val="en-US" w:eastAsia="zh-CN"/>
            </w:rPr>
            <w:t>（二）规划指标体系</w:t>
          </w:r>
          <w:r>
            <w:rPr>
              <w:sz w:val="32"/>
              <w:szCs w:val="32"/>
            </w:rPr>
            <w:tab/>
          </w:r>
          <w:r>
            <w:rPr>
              <w:sz w:val="32"/>
              <w:szCs w:val="32"/>
            </w:rPr>
            <w:fldChar w:fldCharType="begin"/>
          </w:r>
          <w:r>
            <w:rPr>
              <w:sz w:val="32"/>
              <w:szCs w:val="32"/>
            </w:rPr>
            <w:instrText xml:space="preserve"> PAGEREF _Toc30966 \h </w:instrText>
          </w:r>
          <w:r>
            <w:rPr>
              <w:sz w:val="32"/>
              <w:szCs w:val="32"/>
            </w:rPr>
            <w:fldChar w:fldCharType="separate"/>
          </w:r>
          <w:r>
            <w:rPr>
              <w:sz w:val="32"/>
              <w:szCs w:val="32"/>
            </w:rPr>
            <w:t>15</w:t>
          </w:r>
          <w:r>
            <w:rPr>
              <w:sz w:val="32"/>
              <w:szCs w:val="32"/>
            </w:rPr>
            <w:fldChar w:fldCharType="end"/>
          </w:r>
          <w:r>
            <w:rPr>
              <w:sz w:val="32"/>
              <w:szCs w:val="32"/>
            </w:rPr>
            <w:fldChar w:fldCharType="end"/>
          </w:r>
        </w:p>
        <w:p w14:paraId="6ED1DAF5">
          <w:pPr>
            <w:pStyle w:val="12"/>
            <w:keepNext w:val="0"/>
            <w:keepLines w:val="0"/>
            <w:pageBreakBefore w:val="0"/>
            <w:widowControl w:val="0"/>
            <w:tabs>
              <w:tab w:val="right" w:leader="dot" w:pos="8846"/>
            </w:tabs>
            <w:kinsoku/>
            <w:wordWrap/>
            <w:overflowPunct/>
            <w:topLinePunct w:val="0"/>
            <w:autoSpaceDE/>
            <w:autoSpaceDN/>
            <w:bidi w:val="0"/>
            <w:adjustRightInd/>
            <w:snapToGrid/>
            <w:spacing w:line="560" w:lineRule="exact"/>
            <w:textAlignment w:val="auto"/>
            <w:rPr>
              <w:sz w:val="32"/>
              <w:szCs w:val="32"/>
            </w:rPr>
          </w:pPr>
          <w:r>
            <w:rPr>
              <w:sz w:val="32"/>
              <w:szCs w:val="32"/>
            </w:rPr>
            <w:fldChar w:fldCharType="begin"/>
          </w:r>
          <w:r>
            <w:rPr>
              <w:sz w:val="32"/>
              <w:szCs w:val="32"/>
            </w:rPr>
            <w:instrText xml:space="preserve"> HYPERLINK \l _Toc15786 </w:instrText>
          </w:r>
          <w:r>
            <w:rPr>
              <w:sz w:val="32"/>
              <w:szCs w:val="32"/>
            </w:rPr>
            <w:fldChar w:fldCharType="separate"/>
          </w:r>
          <w:r>
            <w:rPr>
              <w:rFonts w:hint="eastAsia" w:ascii="黑体" w:hAnsi="黑体" w:eastAsia="黑体" w:cs="黑体"/>
              <w:bCs/>
              <w:sz w:val="32"/>
              <w:szCs w:val="32"/>
              <w:lang w:val="en-US" w:eastAsia="zh-CN"/>
            </w:rPr>
            <w:t>四、产生量及处理规模预测</w:t>
          </w:r>
          <w:r>
            <w:rPr>
              <w:sz w:val="32"/>
              <w:szCs w:val="32"/>
            </w:rPr>
            <w:tab/>
          </w:r>
          <w:r>
            <w:rPr>
              <w:sz w:val="32"/>
              <w:szCs w:val="32"/>
            </w:rPr>
            <w:fldChar w:fldCharType="begin"/>
          </w:r>
          <w:r>
            <w:rPr>
              <w:sz w:val="32"/>
              <w:szCs w:val="32"/>
            </w:rPr>
            <w:instrText xml:space="preserve"> PAGEREF _Toc15786 \h </w:instrText>
          </w:r>
          <w:r>
            <w:rPr>
              <w:sz w:val="32"/>
              <w:szCs w:val="32"/>
            </w:rPr>
            <w:fldChar w:fldCharType="separate"/>
          </w:r>
          <w:r>
            <w:rPr>
              <w:sz w:val="32"/>
              <w:szCs w:val="32"/>
            </w:rPr>
            <w:t>18</w:t>
          </w:r>
          <w:r>
            <w:rPr>
              <w:sz w:val="32"/>
              <w:szCs w:val="32"/>
            </w:rPr>
            <w:fldChar w:fldCharType="end"/>
          </w:r>
          <w:r>
            <w:rPr>
              <w:sz w:val="32"/>
              <w:szCs w:val="32"/>
            </w:rPr>
            <w:fldChar w:fldCharType="end"/>
          </w:r>
        </w:p>
        <w:p w14:paraId="54904901">
          <w:pPr>
            <w:pStyle w:val="13"/>
            <w:keepNext w:val="0"/>
            <w:keepLines w:val="0"/>
            <w:pageBreakBefore w:val="0"/>
            <w:widowControl w:val="0"/>
            <w:tabs>
              <w:tab w:val="right" w:leader="dot" w:pos="8846"/>
            </w:tabs>
            <w:kinsoku/>
            <w:wordWrap/>
            <w:overflowPunct/>
            <w:topLinePunct w:val="0"/>
            <w:autoSpaceDE/>
            <w:autoSpaceDN/>
            <w:bidi w:val="0"/>
            <w:adjustRightInd/>
            <w:snapToGrid/>
            <w:spacing w:line="560" w:lineRule="exact"/>
            <w:textAlignment w:val="auto"/>
            <w:rPr>
              <w:sz w:val="32"/>
              <w:szCs w:val="32"/>
            </w:rPr>
          </w:pPr>
          <w:r>
            <w:rPr>
              <w:sz w:val="32"/>
              <w:szCs w:val="32"/>
            </w:rPr>
            <w:fldChar w:fldCharType="begin"/>
          </w:r>
          <w:r>
            <w:rPr>
              <w:sz w:val="32"/>
              <w:szCs w:val="32"/>
            </w:rPr>
            <w:instrText xml:space="preserve"> HYPERLINK \l _Toc21222 </w:instrText>
          </w:r>
          <w:r>
            <w:rPr>
              <w:sz w:val="32"/>
              <w:szCs w:val="32"/>
            </w:rPr>
            <w:fldChar w:fldCharType="separate"/>
          </w:r>
          <w:r>
            <w:rPr>
              <w:rFonts w:hint="eastAsia" w:ascii="楷体_GB2312" w:hAnsi="楷体_GB2312" w:eastAsia="楷体_GB2312" w:cs="楷体_GB2312"/>
              <w:bCs/>
              <w:sz w:val="32"/>
              <w:szCs w:val="32"/>
              <w:highlight w:val="none"/>
              <w:lang w:val="en-US" w:eastAsia="zh-CN"/>
            </w:rPr>
            <w:t>（一）建筑垃圾产生量预测</w:t>
          </w:r>
          <w:r>
            <w:rPr>
              <w:sz w:val="32"/>
              <w:szCs w:val="32"/>
            </w:rPr>
            <w:tab/>
          </w:r>
          <w:r>
            <w:rPr>
              <w:sz w:val="32"/>
              <w:szCs w:val="32"/>
            </w:rPr>
            <w:fldChar w:fldCharType="begin"/>
          </w:r>
          <w:r>
            <w:rPr>
              <w:sz w:val="32"/>
              <w:szCs w:val="32"/>
            </w:rPr>
            <w:instrText xml:space="preserve"> PAGEREF _Toc21222 \h </w:instrText>
          </w:r>
          <w:r>
            <w:rPr>
              <w:sz w:val="32"/>
              <w:szCs w:val="32"/>
            </w:rPr>
            <w:fldChar w:fldCharType="separate"/>
          </w:r>
          <w:r>
            <w:rPr>
              <w:sz w:val="32"/>
              <w:szCs w:val="32"/>
            </w:rPr>
            <w:t>18</w:t>
          </w:r>
          <w:r>
            <w:rPr>
              <w:sz w:val="32"/>
              <w:szCs w:val="32"/>
            </w:rPr>
            <w:fldChar w:fldCharType="end"/>
          </w:r>
          <w:r>
            <w:rPr>
              <w:sz w:val="32"/>
              <w:szCs w:val="32"/>
            </w:rPr>
            <w:fldChar w:fldCharType="end"/>
          </w:r>
        </w:p>
        <w:p w14:paraId="6E9E3729">
          <w:pPr>
            <w:pStyle w:val="13"/>
            <w:keepNext w:val="0"/>
            <w:keepLines w:val="0"/>
            <w:pageBreakBefore w:val="0"/>
            <w:widowControl w:val="0"/>
            <w:tabs>
              <w:tab w:val="right" w:leader="dot" w:pos="8846"/>
            </w:tabs>
            <w:kinsoku/>
            <w:wordWrap/>
            <w:overflowPunct/>
            <w:topLinePunct w:val="0"/>
            <w:autoSpaceDE/>
            <w:autoSpaceDN/>
            <w:bidi w:val="0"/>
            <w:adjustRightInd/>
            <w:snapToGrid/>
            <w:spacing w:line="560" w:lineRule="exact"/>
            <w:textAlignment w:val="auto"/>
            <w:rPr>
              <w:sz w:val="32"/>
              <w:szCs w:val="32"/>
            </w:rPr>
          </w:pPr>
          <w:r>
            <w:rPr>
              <w:sz w:val="32"/>
              <w:szCs w:val="32"/>
            </w:rPr>
            <w:fldChar w:fldCharType="begin"/>
          </w:r>
          <w:r>
            <w:rPr>
              <w:sz w:val="32"/>
              <w:szCs w:val="32"/>
            </w:rPr>
            <w:instrText xml:space="preserve"> HYPERLINK \l _Toc14687 </w:instrText>
          </w:r>
          <w:r>
            <w:rPr>
              <w:sz w:val="32"/>
              <w:szCs w:val="32"/>
            </w:rPr>
            <w:fldChar w:fldCharType="separate"/>
          </w:r>
          <w:r>
            <w:rPr>
              <w:rFonts w:hint="eastAsia" w:ascii="楷体_GB2312" w:hAnsi="楷体_GB2312" w:eastAsia="楷体_GB2312" w:cs="楷体_GB2312"/>
              <w:bCs w:val="0"/>
              <w:sz w:val="32"/>
              <w:szCs w:val="32"/>
              <w:highlight w:val="none"/>
              <w:lang w:val="en-US" w:eastAsia="zh-CN"/>
            </w:rPr>
            <w:t>（二）建筑垃圾处理规模预测</w:t>
          </w:r>
          <w:r>
            <w:rPr>
              <w:sz w:val="32"/>
              <w:szCs w:val="32"/>
            </w:rPr>
            <w:tab/>
          </w:r>
          <w:r>
            <w:rPr>
              <w:sz w:val="32"/>
              <w:szCs w:val="32"/>
            </w:rPr>
            <w:fldChar w:fldCharType="begin"/>
          </w:r>
          <w:r>
            <w:rPr>
              <w:sz w:val="32"/>
              <w:szCs w:val="32"/>
            </w:rPr>
            <w:instrText xml:space="preserve"> PAGEREF _Toc14687 \h </w:instrText>
          </w:r>
          <w:r>
            <w:rPr>
              <w:sz w:val="32"/>
              <w:szCs w:val="32"/>
            </w:rPr>
            <w:fldChar w:fldCharType="separate"/>
          </w:r>
          <w:r>
            <w:rPr>
              <w:sz w:val="32"/>
              <w:szCs w:val="32"/>
            </w:rPr>
            <w:t>25</w:t>
          </w:r>
          <w:r>
            <w:rPr>
              <w:sz w:val="32"/>
              <w:szCs w:val="32"/>
            </w:rPr>
            <w:fldChar w:fldCharType="end"/>
          </w:r>
          <w:r>
            <w:rPr>
              <w:sz w:val="32"/>
              <w:szCs w:val="32"/>
            </w:rPr>
            <w:fldChar w:fldCharType="end"/>
          </w:r>
        </w:p>
        <w:p w14:paraId="314544E4">
          <w:pPr>
            <w:pStyle w:val="12"/>
            <w:keepNext w:val="0"/>
            <w:keepLines w:val="0"/>
            <w:pageBreakBefore w:val="0"/>
            <w:widowControl w:val="0"/>
            <w:tabs>
              <w:tab w:val="right" w:leader="dot" w:pos="8846"/>
            </w:tabs>
            <w:kinsoku/>
            <w:wordWrap/>
            <w:overflowPunct/>
            <w:topLinePunct w:val="0"/>
            <w:autoSpaceDE/>
            <w:autoSpaceDN/>
            <w:bidi w:val="0"/>
            <w:adjustRightInd/>
            <w:snapToGrid/>
            <w:spacing w:line="560" w:lineRule="exact"/>
            <w:textAlignment w:val="auto"/>
            <w:rPr>
              <w:sz w:val="32"/>
              <w:szCs w:val="32"/>
            </w:rPr>
          </w:pPr>
          <w:r>
            <w:rPr>
              <w:sz w:val="32"/>
              <w:szCs w:val="32"/>
            </w:rPr>
            <w:fldChar w:fldCharType="begin"/>
          </w:r>
          <w:r>
            <w:rPr>
              <w:sz w:val="32"/>
              <w:szCs w:val="32"/>
            </w:rPr>
            <w:instrText xml:space="preserve"> HYPERLINK \l _Toc25309 </w:instrText>
          </w:r>
          <w:r>
            <w:rPr>
              <w:sz w:val="32"/>
              <w:szCs w:val="32"/>
            </w:rPr>
            <w:fldChar w:fldCharType="separate"/>
          </w:r>
          <w:r>
            <w:rPr>
              <w:rFonts w:hint="eastAsia" w:ascii="黑体" w:hAnsi="黑体" w:eastAsia="黑体" w:cs="黑体"/>
              <w:bCs/>
              <w:sz w:val="32"/>
              <w:szCs w:val="32"/>
              <w:lang w:val="en-US" w:eastAsia="zh-CN"/>
            </w:rPr>
            <w:t>五、建筑垃圾源头减量规划</w:t>
          </w:r>
          <w:r>
            <w:rPr>
              <w:sz w:val="32"/>
              <w:szCs w:val="32"/>
            </w:rPr>
            <w:tab/>
          </w:r>
          <w:r>
            <w:rPr>
              <w:sz w:val="32"/>
              <w:szCs w:val="32"/>
            </w:rPr>
            <w:fldChar w:fldCharType="begin"/>
          </w:r>
          <w:r>
            <w:rPr>
              <w:sz w:val="32"/>
              <w:szCs w:val="32"/>
            </w:rPr>
            <w:instrText xml:space="preserve"> PAGEREF _Toc25309 \h </w:instrText>
          </w:r>
          <w:r>
            <w:rPr>
              <w:sz w:val="32"/>
              <w:szCs w:val="32"/>
            </w:rPr>
            <w:fldChar w:fldCharType="separate"/>
          </w:r>
          <w:r>
            <w:rPr>
              <w:sz w:val="32"/>
              <w:szCs w:val="32"/>
            </w:rPr>
            <w:t>27</w:t>
          </w:r>
          <w:r>
            <w:rPr>
              <w:sz w:val="32"/>
              <w:szCs w:val="32"/>
            </w:rPr>
            <w:fldChar w:fldCharType="end"/>
          </w:r>
          <w:r>
            <w:rPr>
              <w:sz w:val="32"/>
              <w:szCs w:val="32"/>
            </w:rPr>
            <w:fldChar w:fldCharType="end"/>
          </w:r>
        </w:p>
        <w:p w14:paraId="183C2F81">
          <w:pPr>
            <w:pStyle w:val="13"/>
            <w:keepNext w:val="0"/>
            <w:keepLines w:val="0"/>
            <w:pageBreakBefore w:val="0"/>
            <w:widowControl w:val="0"/>
            <w:tabs>
              <w:tab w:val="right" w:leader="dot" w:pos="8846"/>
            </w:tabs>
            <w:kinsoku/>
            <w:wordWrap/>
            <w:overflowPunct/>
            <w:topLinePunct w:val="0"/>
            <w:autoSpaceDE/>
            <w:autoSpaceDN/>
            <w:bidi w:val="0"/>
            <w:adjustRightInd/>
            <w:snapToGrid/>
            <w:spacing w:line="560" w:lineRule="exact"/>
            <w:textAlignment w:val="auto"/>
            <w:rPr>
              <w:sz w:val="32"/>
              <w:szCs w:val="32"/>
            </w:rPr>
          </w:pPr>
          <w:r>
            <w:rPr>
              <w:sz w:val="32"/>
              <w:szCs w:val="32"/>
            </w:rPr>
            <w:fldChar w:fldCharType="begin"/>
          </w:r>
          <w:r>
            <w:rPr>
              <w:sz w:val="32"/>
              <w:szCs w:val="32"/>
            </w:rPr>
            <w:instrText xml:space="preserve"> HYPERLINK \l _Toc8537 </w:instrText>
          </w:r>
          <w:r>
            <w:rPr>
              <w:sz w:val="32"/>
              <w:szCs w:val="32"/>
            </w:rPr>
            <w:fldChar w:fldCharType="separate"/>
          </w:r>
          <w:r>
            <w:rPr>
              <w:rFonts w:hint="eastAsia" w:ascii="楷体_GB2312" w:hAnsi="楷体_GB2312" w:eastAsia="楷体_GB2312" w:cs="楷体_GB2312"/>
              <w:bCs w:val="0"/>
              <w:sz w:val="32"/>
              <w:szCs w:val="32"/>
              <w:lang w:val="en-US" w:eastAsia="zh-CN"/>
            </w:rPr>
            <w:t>（一）源头减量目标</w:t>
          </w:r>
          <w:r>
            <w:rPr>
              <w:sz w:val="32"/>
              <w:szCs w:val="32"/>
            </w:rPr>
            <w:tab/>
          </w:r>
          <w:r>
            <w:rPr>
              <w:sz w:val="32"/>
              <w:szCs w:val="32"/>
            </w:rPr>
            <w:fldChar w:fldCharType="begin"/>
          </w:r>
          <w:r>
            <w:rPr>
              <w:sz w:val="32"/>
              <w:szCs w:val="32"/>
            </w:rPr>
            <w:instrText xml:space="preserve"> PAGEREF _Toc8537 \h </w:instrText>
          </w:r>
          <w:r>
            <w:rPr>
              <w:sz w:val="32"/>
              <w:szCs w:val="32"/>
            </w:rPr>
            <w:fldChar w:fldCharType="separate"/>
          </w:r>
          <w:r>
            <w:rPr>
              <w:sz w:val="32"/>
              <w:szCs w:val="32"/>
            </w:rPr>
            <w:t>27</w:t>
          </w:r>
          <w:r>
            <w:rPr>
              <w:sz w:val="32"/>
              <w:szCs w:val="32"/>
            </w:rPr>
            <w:fldChar w:fldCharType="end"/>
          </w:r>
          <w:r>
            <w:rPr>
              <w:sz w:val="32"/>
              <w:szCs w:val="32"/>
            </w:rPr>
            <w:fldChar w:fldCharType="end"/>
          </w:r>
        </w:p>
        <w:p w14:paraId="6B985E72">
          <w:pPr>
            <w:pStyle w:val="13"/>
            <w:keepNext w:val="0"/>
            <w:keepLines w:val="0"/>
            <w:pageBreakBefore w:val="0"/>
            <w:widowControl w:val="0"/>
            <w:tabs>
              <w:tab w:val="right" w:leader="dot" w:pos="8846"/>
            </w:tabs>
            <w:kinsoku/>
            <w:wordWrap/>
            <w:overflowPunct/>
            <w:topLinePunct w:val="0"/>
            <w:autoSpaceDE/>
            <w:autoSpaceDN/>
            <w:bidi w:val="0"/>
            <w:adjustRightInd/>
            <w:snapToGrid/>
            <w:spacing w:line="560" w:lineRule="exact"/>
            <w:textAlignment w:val="auto"/>
            <w:rPr>
              <w:sz w:val="32"/>
              <w:szCs w:val="32"/>
            </w:rPr>
          </w:pPr>
          <w:r>
            <w:rPr>
              <w:sz w:val="32"/>
              <w:szCs w:val="32"/>
            </w:rPr>
            <w:fldChar w:fldCharType="begin"/>
          </w:r>
          <w:r>
            <w:rPr>
              <w:sz w:val="32"/>
              <w:szCs w:val="32"/>
            </w:rPr>
            <w:instrText xml:space="preserve"> HYPERLINK \l _Toc32754 </w:instrText>
          </w:r>
          <w:r>
            <w:rPr>
              <w:sz w:val="32"/>
              <w:szCs w:val="32"/>
            </w:rPr>
            <w:fldChar w:fldCharType="separate"/>
          </w:r>
          <w:r>
            <w:rPr>
              <w:rFonts w:hint="eastAsia" w:ascii="楷体_GB2312" w:hAnsi="楷体_GB2312" w:eastAsia="楷体_GB2312" w:cs="楷体_GB2312"/>
              <w:bCs w:val="0"/>
              <w:sz w:val="32"/>
              <w:szCs w:val="32"/>
              <w:lang w:val="en-US" w:eastAsia="zh-CN"/>
            </w:rPr>
            <w:t>（二）源头减量措施</w:t>
          </w:r>
          <w:r>
            <w:rPr>
              <w:sz w:val="32"/>
              <w:szCs w:val="32"/>
            </w:rPr>
            <w:tab/>
          </w:r>
          <w:r>
            <w:rPr>
              <w:sz w:val="32"/>
              <w:szCs w:val="32"/>
            </w:rPr>
            <w:fldChar w:fldCharType="begin"/>
          </w:r>
          <w:r>
            <w:rPr>
              <w:sz w:val="32"/>
              <w:szCs w:val="32"/>
            </w:rPr>
            <w:instrText xml:space="preserve"> PAGEREF _Toc32754 \h </w:instrText>
          </w:r>
          <w:r>
            <w:rPr>
              <w:sz w:val="32"/>
              <w:szCs w:val="32"/>
            </w:rPr>
            <w:fldChar w:fldCharType="separate"/>
          </w:r>
          <w:r>
            <w:rPr>
              <w:sz w:val="32"/>
              <w:szCs w:val="32"/>
            </w:rPr>
            <w:t>27</w:t>
          </w:r>
          <w:r>
            <w:rPr>
              <w:sz w:val="32"/>
              <w:szCs w:val="32"/>
            </w:rPr>
            <w:fldChar w:fldCharType="end"/>
          </w:r>
          <w:r>
            <w:rPr>
              <w:sz w:val="32"/>
              <w:szCs w:val="32"/>
            </w:rPr>
            <w:fldChar w:fldCharType="end"/>
          </w:r>
        </w:p>
        <w:p w14:paraId="7866E5A0">
          <w:pPr>
            <w:pStyle w:val="12"/>
            <w:keepNext w:val="0"/>
            <w:keepLines w:val="0"/>
            <w:pageBreakBefore w:val="0"/>
            <w:widowControl w:val="0"/>
            <w:tabs>
              <w:tab w:val="right" w:leader="dot" w:pos="8846"/>
            </w:tabs>
            <w:kinsoku/>
            <w:wordWrap/>
            <w:overflowPunct/>
            <w:topLinePunct w:val="0"/>
            <w:autoSpaceDE/>
            <w:autoSpaceDN/>
            <w:bidi w:val="0"/>
            <w:adjustRightInd/>
            <w:snapToGrid/>
            <w:spacing w:line="560" w:lineRule="exact"/>
            <w:textAlignment w:val="auto"/>
            <w:rPr>
              <w:sz w:val="32"/>
              <w:szCs w:val="32"/>
            </w:rPr>
          </w:pPr>
          <w:r>
            <w:rPr>
              <w:sz w:val="32"/>
              <w:szCs w:val="32"/>
            </w:rPr>
            <w:fldChar w:fldCharType="begin"/>
          </w:r>
          <w:r>
            <w:rPr>
              <w:sz w:val="32"/>
              <w:szCs w:val="32"/>
            </w:rPr>
            <w:instrText xml:space="preserve"> HYPERLINK \l _Toc29996 </w:instrText>
          </w:r>
          <w:r>
            <w:rPr>
              <w:sz w:val="32"/>
              <w:szCs w:val="32"/>
            </w:rPr>
            <w:fldChar w:fldCharType="separate"/>
          </w:r>
          <w:r>
            <w:rPr>
              <w:rFonts w:hint="eastAsia" w:ascii="黑体" w:hAnsi="黑体" w:eastAsia="黑体" w:cs="黑体"/>
              <w:bCs/>
              <w:sz w:val="32"/>
              <w:szCs w:val="32"/>
              <w:lang w:val="en-US" w:eastAsia="zh-CN"/>
            </w:rPr>
            <w:t>六、建筑垃圾收运体系规划</w:t>
          </w:r>
          <w:r>
            <w:rPr>
              <w:sz w:val="32"/>
              <w:szCs w:val="32"/>
            </w:rPr>
            <w:tab/>
          </w:r>
          <w:r>
            <w:rPr>
              <w:sz w:val="32"/>
              <w:szCs w:val="32"/>
            </w:rPr>
            <w:fldChar w:fldCharType="begin"/>
          </w:r>
          <w:r>
            <w:rPr>
              <w:sz w:val="32"/>
              <w:szCs w:val="32"/>
            </w:rPr>
            <w:instrText xml:space="preserve"> PAGEREF _Toc29996 \h </w:instrText>
          </w:r>
          <w:r>
            <w:rPr>
              <w:sz w:val="32"/>
              <w:szCs w:val="32"/>
            </w:rPr>
            <w:fldChar w:fldCharType="separate"/>
          </w:r>
          <w:r>
            <w:rPr>
              <w:sz w:val="32"/>
              <w:szCs w:val="32"/>
            </w:rPr>
            <w:t>33</w:t>
          </w:r>
          <w:r>
            <w:rPr>
              <w:sz w:val="32"/>
              <w:szCs w:val="32"/>
            </w:rPr>
            <w:fldChar w:fldCharType="end"/>
          </w:r>
          <w:r>
            <w:rPr>
              <w:sz w:val="32"/>
              <w:szCs w:val="32"/>
            </w:rPr>
            <w:fldChar w:fldCharType="end"/>
          </w:r>
        </w:p>
        <w:p w14:paraId="4341EE1D">
          <w:pPr>
            <w:pStyle w:val="13"/>
            <w:keepNext w:val="0"/>
            <w:keepLines w:val="0"/>
            <w:pageBreakBefore w:val="0"/>
            <w:widowControl w:val="0"/>
            <w:tabs>
              <w:tab w:val="right" w:leader="dot" w:pos="8846"/>
            </w:tabs>
            <w:kinsoku/>
            <w:wordWrap/>
            <w:overflowPunct/>
            <w:topLinePunct w:val="0"/>
            <w:autoSpaceDE/>
            <w:autoSpaceDN/>
            <w:bidi w:val="0"/>
            <w:adjustRightInd/>
            <w:snapToGrid/>
            <w:spacing w:line="560" w:lineRule="exact"/>
            <w:textAlignment w:val="auto"/>
            <w:rPr>
              <w:sz w:val="32"/>
              <w:szCs w:val="32"/>
            </w:rPr>
          </w:pPr>
          <w:r>
            <w:rPr>
              <w:sz w:val="32"/>
              <w:szCs w:val="32"/>
            </w:rPr>
            <w:fldChar w:fldCharType="begin"/>
          </w:r>
          <w:r>
            <w:rPr>
              <w:sz w:val="32"/>
              <w:szCs w:val="32"/>
            </w:rPr>
            <w:instrText xml:space="preserve"> HYPERLINK \l _Toc1245 </w:instrText>
          </w:r>
          <w:r>
            <w:rPr>
              <w:sz w:val="32"/>
              <w:szCs w:val="32"/>
            </w:rPr>
            <w:fldChar w:fldCharType="separate"/>
          </w:r>
          <w:r>
            <w:rPr>
              <w:rFonts w:hint="eastAsia" w:ascii="楷体_GB2312" w:hAnsi="楷体_GB2312" w:eastAsia="楷体_GB2312" w:cs="楷体_GB2312"/>
              <w:bCs w:val="0"/>
              <w:sz w:val="32"/>
              <w:szCs w:val="32"/>
              <w:lang w:val="en-US" w:eastAsia="zh-CN"/>
            </w:rPr>
            <w:t>（一）收运要求</w:t>
          </w:r>
          <w:r>
            <w:rPr>
              <w:sz w:val="32"/>
              <w:szCs w:val="32"/>
            </w:rPr>
            <w:tab/>
          </w:r>
          <w:r>
            <w:rPr>
              <w:sz w:val="32"/>
              <w:szCs w:val="32"/>
            </w:rPr>
            <w:fldChar w:fldCharType="begin"/>
          </w:r>
          <w:r>
            <w:rPr>
              <w:sz w:val="32"/>
              <w:szCs w:val="32"/>
            </w:rPr>
            <w:instrText xml:space="preserve"> PAGEREF _Toc1245 \h </w:instrText>
          </w:r>
          <w:r>
            <w:rPr>
              <w:sz w:val="32"/>
              <w:szCs w:val="32"/>
            </w:rPr>
            <w:fldChar w:fldCharType="separate"/>
          </w:r>
          <w:r>
            <w:rPr>
              <w:sz w:val="32"/>
              <w:szCs w:val="32"/>
            </w:rPr>
            <w:t>33</w:t>
          </w:r>
          <w:r>
            <w:rPr>
              <w:sz w:val="32"/>
              <w:szCs w:val="32"/>
            </w:rPr>
            <w:fldChar w:fldCharType="end"/>
          </w:r>
          <w:r>
            <w:rPr>
              <w:sz w:val="32"/>
              <w:szCs w:val="32"/>
            </w:rPr>
            <w:fldChar w:fldCharType="end"/>
          </w:r>
        </w:p>
        <w:p w14:paraId="3222230C">
          <w:pPr>
            <w:pStyle w:val="13"/>
            <w:keepNext w:val="0"/>
            <w:keepLines w:val="0"/>
            <w:pageBreakBefore w:val="0"/>
            <w:widowControl w:val="0"/>
            <w:tabs>
              <w:tab w:val="right" w:leader="dot" w:pos="8846"/>
            </w:tabs>
            <w:kinsoku/>
            <w:wordWrap/>
            <w:overflowPunct/>
            <w:topLinePunct w:val="0"/>
            <w:autoSpaceDE/>
            <w:autoSpaceDN/>
            <w:bidi w:val="0"/>
            <w:adjustRightInd/>
            <w:snapToGrid/>
            <w:spacing w:line="560" w:lineRule="exact"/>
            <w:textAlignment w:val="auto"/>
            <w:rPr>
              <w:sz w:val="32"/>
              <w:szCs w:val="32"/>
            </w:rPr>
          </w:pPr>
          <w:r>
            <w:rPr>
              <w:sz w:val="32"/>
              <w:szCs w:val="32"/>
            </w:rPr>
            <w:fldChar w:fldCharType="begin"/>
          </w:r>
          <w:r>
            <w:rPr>
              <w:sz w:val="32"/>
              <w:szCs w:val="32"/>
            </w:rPr>
            <w:instrText xml:space="preserve"> HYPERLINK \l _Toc24669 </w:instrText>
          </w:r>
          <w:r>
            <w:rPr>
              <w:sz w:val="32"/>
              <w:szCs w:val="32"/>
            </w:rPr>
            <w:fldChar w:fldCharType="separate"/>
          </w:r>
          <w:r>
            <w:rPr>
              <w:rFonts w:hint="eastAsia" w:ascii="楷体_GB2312" w:hAnsi="楷体_GB2312" w:eastAsia="楷体_GB2312" w:cs="楷体_GB2312"/>
              <w:bCs w:val="0"/>
              <w:sz w:val="32"/>
              <w:szCs w:val="32"/>
              <w:lang w:val="en-US" w:eastAsia="zh-CN"/>
            </w:rPr>
            <w:t>（二）</w:t>
          </w:r>
          <w:r>
            <w:rPr>
              <w:rFonts w:hint="eastAsia" w:ascii="楷体_GB2312" w:hAnsi="楷体_GB2312" w:eastAsia="楷体_GB2312" w:cs="楷体_GB2312"/>
              <w:bCs w:val="0"/>
              <w:sz w:val="32"/>
              <w:szCs w:val="32"/>
              <w:highlight w:val="none"/>
              <w:lang w:val="en-US" w:eastAsia="zh-CN"/>
            </w:rPr>
            <w:t>收运设施设备</w:t>
          </w:r>
          <w:r>
            <w:rPr>
              <w:sz w:val="32"/>
              <w:szCs w:val="32"/>
            </w:rPr>
            <w:tab/>
          </w:r>
          <w:r>
            <w:rPr>
              <w:sz w:val="32"/>
              <w:szCs w:val="32"/>
            </w:rPr>
            <w:fldChar w:fldCharType="begin"/>
          </w:r>
          <w:r>
            <w:rPr>
              <w:sz w:val="32"/>
              <w:szCs w:val="32"/>
            </w:rPr>
            <w:instrText xml:space="preserve"> PAGEREF _Toc24669 \h </w:instrText>
          </w:r>
          <w:r>
            <w:rPr>
              <w:sz w:val="32"/>
              <w:szCs w:val="32"/>
            </w:rPr>
            <w:fldChar w:fldCharType="separate"/>
          </w:r>
          <w:r>
            <w:rPr>
              <w:sz w:val="32"/>
              <w:szCs w:val="32"/>
            </w:rPr>
            <w:t>41</w:t>
          </w:r>
          <w:r>
            <w:rPr>
              <w:sz w:val="32"/>
              <w:szCs w:val="32"/>
            </w:rPr>
            <w:fldChar w:fldCharType="end"/>
          </w:r>
          <w:r>
            <w:rPr>
              <w:sz w:val="32"/>
              <w:szCs w:val="32"/>
            </w:rPr>
            <w:fldChar w:fldCharType="end"/>
          </w:r>
        </w:p>
        <w:p w14:paraId="5673859C">
          <w:pPr>
            <w:pStyle w:val="13"/>
            <w:keepNext w:val="0"/>
            <w:keepLines w:val="0"/>
            <w:pageBreakBefore w:val="0"/>
            <w:widowControl w:val="0"/>
            <w:tabs>
              <w:tab w:val="right" w:leader="dot" w:pos="8846"/>
            </w:tabs>
            <w:kinsoku/>
            <w:wordWrap/>
            <w:overflowPunct/>
            <w:topLinePunct w:val="0"/>
            <w:autoSpaceDE/>
            <w:autoSpaceDN/>
            <w:bidi w:val="0"/>
            <w:adjustRightInd/>
            <w:snapToGrid/>
            <w:spacing w:line="560" w:lineRule="exact"/>
            <w:textAlignment w:val="auto"/>
            <w:rPr>
              <w:sz w:val="32"/>
              <w:szCs w:val="32"/>
            </w:rPr>
          </w:pPr>
          <w:r>
            <w:rPr>
              <w:sz w:val="32"/>
              <w:szCs w:val="32"/>
            </w:rPr>
            <w:fldChar w:fldCharType="begin"/>
          </w:r>
          <w:r>
            <w:rPr>
              <w:sz w:val="32"/>
              <w:szCs w:val="32"/>
            </w:rPr>
            <w:instrText xml:space="preserve"> HYPERLINK \l _Toc25616 </w:instrText>
          </w:r>
          <w:r>
            <w:rPr>
              <w:sz w:val="32"/>
              <w:szCs w:val="32"/>
            </w:rPr>
            <w:fldChar w:fldCharType="separate"/>
          </w:r>
          <w:r>
            <w:rPr>
              <w:rFonts w:hint="eastAsia" w:ascii="楷体_GB2312" w:hAnsi="楷体_GB2312" w:eastAsia="楷体_GB2312" w:cs="楷体_GB2312"/>
              <w:bCs w:val="0"/>
              <w:sz w:val="32"/>
              <w:szCs w:val="32"/>
              <w:highlight w:val="none"/>
              <w:lang w:val="en-US" w:eastAsia="zh-CN"/>
            </w:rPr>
            <w:t>（三）</w:t>
          </w:r>
          <w:r>
            <w:rPr>
              <w:rFonts w:hint="default" w:ascii="楷体_GB2312" w:hAnsi="楷体_GB2312" w:eastAsia="楷体_GB2312" w:cs="楷体_GB2312"/>
              <w:bCs w:val="0"/>
              <w:sz w:val="32"/>
              <w:szCs w:val="32"/>
              <w:highlight w:val="none"/>
              <w:lang w:val="en-US" w:eastAsia="zh-CN"/>
            </w:rPr>
            <w:t>收运路线</w:t>
          </w:r>
          <w:r>
            <w:rPr>
              <w:sz w:val="32"/>
              <w:szCs w:val="32"/>
            </w:rPr>
            <w:tab/>
          </w:r>
          <w:r>
            <w:rPr>
              <w:sz w:val="32"/>
              <w:szCs w:val="32"/>
            </w:rPr>
            <w:fldChar w:fldCharType="begin"/>
          </w:r>
          <w:r>
            <w:rPr>
              <w:sz w:val="32"/>
              <w:szCs w:val="32"/>
            </w:rPr>
            <w:instrText xml:space="preserve"> PAGEREF _Toc25616 \h </w:instrText>
          </w:r>
          <w:r>
            <w:rPr>
              <w:sz w:val="32"/>
              <w:szCs w:val="32"/>
            </w:rPr>
            <w:fldChar w:fldCharType="separate"/>
          </w:r>
          <w:r>
            <w:rPr>
              <w:sz w:val="32"/>
              <w:szCs w:val="32"/>
            </w:rPr>
            <w:t>45</w:t>
          </w:r>
          <w:r>
            <w:rPr>
              <w:sz w:val="32"/>
              <w:szCs w:val="32"/>
            </w:rPr>
            <w:fldChar w:fldCharType="end"/>
          </w:r>
          <w:r>
            <w:rPr>
              <w:sz w:val="32"/>
              <w:szCs w:val="32"/>
            </w:rPr>
            <w:fldChar w:fldCharType="end"/>
          </w:r>
        </w:p>
        <w:p w14:paraId="0FDDB9C2">
          <w:pPr>
            <w:pStyle w:val="12"/>
            <w:keepNext w:val="0"/>
            <w:keepLines w:val="0"/>
            <w:pageBreakBefore w:val="0"/>
            <w:widowControl w:val="0"/>
            <w:tabs>
              <w:tab w:val="right" w:leader="dot" w:pos="8846"/>
            </w:tabs>
            <w:kinsoku/>
            <w:wordWrap/>
            <w:overflowPunct/>
            <w:topLinePunct w:val="0"/>
            <w:autoSpaceDE/>
            <w:autoSpaceDN/>
            <w:bidi w:val="0"/>
            <w:adjustRightInd/>
            <w:snapToGrid/>
            <w:spacing w:line="560" w:lineRule="exact"/>
            <w:textAlignment w:val="auto"/>
            <w:rPr>
              <w:sz w:val="32"/>
              <w:szCs w:val="32"/>
            </w:rPr>
          </w:pPr>
          <w:r>
            <w:rPr>
              <w:sz w:val="32"/>
              <w:szCs w:val="32"/>
            </w:rPr>
            <w:fldChar w:fldCharType="begin"/>
          </w:r>
          <w:r>
            <w:rPr>
              <w:sz w:val="32"/>
              <w:szCs w:val="32"/>
            </w:rPr>
            <w:instrText xml:space="preserve"> HYPERLINK \l _Toc13456 </w:instrText>
          </w:r>
          <w:r>
            <w:rPr>
              <w:sz w:val="32"/>
              <w:szCs w:val="32"/>
            </w:rPr>
            <w:fldChar w:fldCharType="separate"/>
          </w:r>
          <w:r>
            <w:rPr>
              <w:rFonts w:hint="eastAsia" w:ascii="黑体" w:hAnsi="黑体" w:eastAsia="黑体" w:cs="黑体"/>
              <w:bCs/>
              <w:sz w:val="32"/>
              <w:szCs w:val="32"/>
              <w:highlight w:val="none"/>
              <w:lang w:val="en-US" w:eastAsia="zh-CN"/>
            </w:rPr>
            <w:t>七、建筑垃圾处理设施规划</w:t>
          </w:r>
          <w:r>
            <w:rPr>
              <w:sz w:val="32"/>
              <w:szCs w:val="32"/>
            </w:rPr>
            <w:tab/>
          </w:r>
          <w:r>
            <w:rPr>
              <w:sz w:val="32"/>
              <w:szCs w:val="32"/>
            </w:rPr>
            <w:fldChar w:fldCharType="begin"/>
          </w:r>
          <w:r>
            <w:rPr>
              <w:sz w:val="32"/>
              <w:szCs w:val="32"/>
            </w:rPr>
            <w:instrText xml:space="preserve"> PAGEREF _Toc13456 \h </w:instrText>
          </w:r>
          <w:r>
            <w:rPr>
              <w:sz w:val="32"/>
              <w:szCs w:val="32"/>
            </w:rPr>
            <w:fldChar w:fldCharType="separate"/>
          </w:r>
          <w:r>
            <w:rPr>
              <w:sz w:val="32"/>
              <w:szCs w:val="32"/>
            </w:rPr>
            <w:t>47</w:t>
          </w:r>
          <w:r>
            <w:rPr>
              <w:sz w:val="32"/>
              <w:szCs w:val="32"/>
            </w:rPr>
            <w:fldChar w:fldCharType="end"/>
          </w:r>
          <w:r>
            <w:rPr>
              <w:sz w:val="32"/>
              <w:szCs w:val="32"/>
            </w:rPr>
            <w:fldChar w:fldCharType="end"/>
          </w:r>
        </w:p>
        <w:p w14:paraId="4C2C1F49">
          <w:pPr>
            <w:pStyle w:val="13"/>
            <w:keepNext w:val="0"/>
            <w:keepLines w:val="0"/>
            <w:pageBreakBefore w:val="0"/>
            <w:widowControl w:val="0"/>
            <w:tabs>
              <w:tab w:val="right" w:leader="dot" w:pos="8846"/>
            </w:tabs>
            <w:kinsoku/>
            <w:wordWrap/>
            <w:overflowPunct/>
            <w:topLinePunct w:val="0"/>
            <w:autoSpaceDE/>
            <w:autoSpaceDN/>
            <w:bidi w:val="0"/>
            <w:adjustRightInd/>
            <w:snapToGrid/>
            <w:spacing w:line="560" w:lineRule="exact"/>
            <w:textAlignment w:val="auto"/>
            <w:rPr>
              <w:sz w:val="32"/>
              <w:szCs w:val="32"/>
            </w:rPr>
          </w:pPr>
          <w:r>
            <w:rPr>
              <w:sz w:val="32"/>
              <w:szCs w:val="32"/>
            </w:rPr>
            <w:fldChar w:fldCharType="begin"/>
          </w:r>
          <w:r>
            <w:rPr>
              <w:sz w:val="32"/>
              <w:szCs w:val="32"/>
            </w:rPr>
            <w:instrText xml:space="preserve"> HYPERLINK \l _Toc5553 </w:instrText>
          </w:r>
          <w:r>
            <w:rPr>
              <w:sz w:val="32"/>
              <w:szCs w:val="32"/>
            </w:rPr>
            <w:fldChar w:fldCharType="separate"/>
          </w:r>
          <w:r>
            <w:rPr>
              <w:rFonts w:hint="eastAsia" w:ascii="楷体_GB2312" w:hAnsi="楷体_GB2312" w:eastAsia="楷体_GB2312" w:cs="楷体_GB2312"/>
              <w:bCs/>
              <w:sz w:val="32"/>
              <w:szCs w:val="32"/>
              <w:lang w:val="en-US" w:eastAsia="zh-CN"/>
            </w:rPr>
            <w:t>（一）处理方案</w:t>
          </w:r>
          <w:r>
            <w:rPr>
              <w:sz w:val="32"/>
              <w:szCs w:val="32"/>
            </w:rPr>
            <w:tab/>
          </w:r>
          <w:r>
            <w:rPr>
              <w:sz w:val="32"/>
              <w:szCs w:val="32"/>
            </w:rPr>
            <w:fldChar w:fldCharType="begin"/>
          </w:r>
          <w:r>
            <w:rPr>
              <w:sz w:val="32"/>
              <w:szCs w:val="32"/>
            </w:rPr>
            <w:instrText xml:space="preserve"> PAGEREF _Toc5553 \h </w:instrText>
          </w:r>
          <w:r>
            <w:rPr>
              <w:sz w:val="32"/>
              <w:szCs w:val="32"/>
            </w:rPr>
            <w:fldChar w:fldCharType="separate"/>
          </w:r>
          <w:r>
            <w:rPr>
              <w:sz w:val="32"/>
              <w:szCs w:val="32"/>
            </w:rPr>
            <w:t>47</w:t>
          </w:r>
          <w:r>
            <w:rPr>
              <w:sz w:val="32"/>
              <w:szCs w:val="32"/>
            </w:rPr>
            <w:fldChar w:fldCharType="end"/>
          </w:r>
          <w:r>
            <w:rPr>
              <w:sz w:val="32"/>
              <w:szCs w:val="32"/>
            </w:rPr>
            <w:fldChar w:fldCharType="end"/>
          </w:r>
        </w:p>
        <w:p w14:paraId="204A9E2E">
          <w:pPr>
            <w:pStyle w:val="13"/>
            <w:keepNext w:val="0"/>
            <w:keepLines w:val="0"/>
            <w:pageBreakBefore w:val="0"/>
            <w:widowControl w:val="0"/>
            <w:tabs>
              <w:tab w:val="right" w:leader="dot" w:pos="8846"/>
            </w:tabs>
            <w:kinsoku/>
            <w:wordWrap/>
            <w:overflowPunct/>
            <w:topLinePunct w:val="0"/>
            <w:autoSpaceDE/>
            <w:autoSpaceDN/>
            <w:bidi w:val="0"/>
            <w:adjustRightInd/>
            <w:snapToGrid/>
            <w:spacing w:line="560" w:lineRule="exact"/>
            <w:textAlignment w:val="auto"/>
            <w:rPr>
              <w:sz w:val="32"/>
              <w:szCs w:val="32"/>
            </w:rPr>
          </w:pPr>
          <w:r>
            <w:rPr>
              <w:sz w:val="32"/>
              <w:szCs w:val="32"/>
            </w:rPr>
            <w:fldChar w:fldCharType="begin"/>
          </w:r>
          <w:r>
            <w:rPr>
              <w:sz w:val="32"/>
              <w:szCs w:val="32"/>
            </w:rPr>
            <w:instrText xml:space="preserve"> HYPERLINK \l _Toc2591 </w:instrText>
          </w:r>
          <w:r>
            <w:rPr>
              <w:sz w:val="32"/>
              <w:szCs w:val="32"/>
            </w:rPr>
            <w:fldChar w:fldCharType="separate"/>
          </w:r>
          <w:r>
            <w:rPr>
              <w:rFonts w:hint="eastAsia" w:ascii="楷体_GB2312" w:hAnsi="楷体_GB2312" w:eastAsia="楷体_GB2312" w:cs="楷体_GB2312"/>
              <w:bCs w:val="0"/>
              <w:sz w:val="32"/>
              <w:szCs w:val="32"/>
              <w:highlight w:val="none"/>
              <w:lang w:val="en-US" w:eastAsia="zh-CN"/>
            </w:rPr>
            <w:t>（二）处理设施布局规划</w:t>
          </w:r>
          <w:r>
            <w:rPr>
              <w:sz w:val="32"/>
              <w:szCs w:val="32"/>
            </w:rPr>
            <w:tab/>
          </w:r>
          <w:r>
            <w:rPr>
              <w:sz w:val="32"/>
              <w:szCs w:val="32"/>
            </w:rPr>
            <w:fldChar w:fldCharType="begin"/>
          </w:r>
          <w:r>
            <w:rPr>
              <w:sz w:val="32"/>
              <w:szCs w:val="32"/>
            </w:rPr>
            <w:instrText xml:space="preserve"> PAGEREF _Toc2591 \h </w:instrText>
          </w:r>
          <w:r>
            <w:rPr>
              <w:sz w:val="32"/>
              <w:szCs w:val="32"/>
            </w:rPr>
            <w:fldChar w:fldCharType="separate"/>
          </w:r>
          <w:r>
            <w:rPr>
              <w:sz w:val="32"/>
              <w:szCs w:val="32"/>
            </w:rPr>
            <w:t>53</w:t>
          </w:r>
          <w:r>
            <w:rPr>
              <w:sz w:val="32"/>
              <w:szCs w:val="32"/>
            </w:rPr>
            <w:fldChar w:fldCharType="end"/>
          </w:r>
          <w:r>
            <w:rPr>
              <w:sz w:val="32"/>
              <w:szCs w:val="32"/>
            </w:rPr>
            <w:fldChar w:fldCharType="end"/>
          </w:r>
        </w:p>
        <w:p w14:paraId="1730777A">
          <w:pPr>
            <w:pStyle w:val="12"/>
            <w:keepNext w:val="0"/>
            <w:keepLines w:val="0"/>
            <w:pageBreakBefore w:val="0"/>
            <w:widowControl w:val="0"/>
            <w:tabs>
              <w:tab w:val="right" w:leader="dot" w:pos="8846"/>
            </w:tabs>
            <w:kinsoku/>
            <w:wordWrap/>
            <w:overflowPunct/>
            <w:topLinePunct w:val="0"/>
            <w:autoSpaceDE/>
            <w:autoSpaceDN/>
            <w:bidi w:val="0"/>
            <w:adjustRightInd/>
            <w:snapToGrid/>
            <w:spacing w:line="560" w:lineRule="exact"/>
            <w:textAlignment w:val="auto"/>
            <w:rPr>
              <w:sz w:val="32"/>
              <w:szCs w:val="32"/>
            </w:rPr>
          </w:pPr>
          <w:r>
            <w:rPr>
              <w:sz w:val="32"/>
              <w:szCs w:val="32"/>
            </w:rPr>
            <w:fldChar w:fldCharType="begin"/>
          </w:r>
          <w:r>
            <w:rPr>
              <w:sz w:val="32"/>
              <w:szCs w:val="32"/>
            </w:rPr>
            <w:instrText xml:space="preserve"> HYPERLINK \l _Toc30293 </w:instrText>
          </w:r>
          <w:r>
            <w:rPr>
              <w:sz w:val="32"/>
              <w:szCs w:val="32"/>
            </w:rPr>
            <w:fldChar w:fldCharType="separate"/>
          </w:r>
          <w:r>
            <w:rPr>
              <w:rFonts w:hint="eastAsia" w:ascii="黑体" w:hAnsi="黑体" w:eastAsia="黑体" w:cs="黑体"/>
              <w:bCs/>
              <w:sz w:val="32"/>
              <w:szCs w:val="32"/>
              <w:lang w:val="en-US" w:eastAsia="zh-CN"/>
            </w:rPr>
            <w:t>八、建筑垃圾存量治理规划</w:t>
          </w:r>
          <w:r>
            <w:rPr>
              <w:sz w:val="32"/>
              <w:szCs w:val="32"/>
            </w:rPr>
            <w:tab/>
          </w:r>
          <w:r>
            <w:rPr>
              <w:sz w:val="32"/>
              <w:szCs w:val="32"/>
            </w:rPr>
            <w:fldChar w:fldCharType="begin"/>
          </w:r>
          <w:r>
            <w:rPr>
              <w:sz w:val="32"/>
              <w:szCs w:val="32"/>
            </w:rPr>
            <w:instrText xml:space="preserve"> PAGEREF _Toc30293 \h </w:instrText>
          </w:r>
          <w:r>
            <w:rPr>
              <w:sz w:val="32"/>
              <w:szCs w:val="32"/>
            </w:rPr>
            <w:fldChar w:fldCharType="separate"/>
          </w:r>
          <w:r>
            <w:rPr>
              <w:sz w:val="32"/>
              <w:szCs w:val="32"/>
            </w:rPr>
            <w:t>55</w:t>
          </w:r>
          <w:r>
            <w:rPr>
              <w:sz w:val="32"/>
              <w:szCs w:val="32"/>
            </w:rPr>
            <w:fldChar w:fldCharType="end"/>
          </w:r>
          <w:r>
            <w:rPr>
              <w:sz w:val="32"/>
              <w:szCs w:val="32"/>
            </w:rPr>
            <w:fldChar w:fldCharType="end"/>
          </w:r>
        </w:p>
        <w:p w14:paraId="74A7A4D1">
          <w:pPr>
            <w:pStyle w:val="13"/>
            <w:keepNext w:val="0"/>
            <w:keepLines w:val="0"/>
            <w:pageBreakBefore w:val="0"/>
            <w:widowControl w:val="0"/>
            <w:tabs>
              <w:tab w:val="right" w:leader="dot" w:pos="8846"/>
            </w:tabs>
            <w:kinsoku/>
            <w:wordWrap/>
            <w:overflowPunct/>
            <w:topLinePunct w:val="0"/>
            <w:autoSpaceDE/>
            <w:autoSpaceDN/>
            <w:bidi w:val="0"/>
            <w:adjustRightInd/>
            <w:snapToGrid/>
            <w:spacing w:line="560" w:lineRule="exact"/>
            <w:textAlignment w:val="auto"/>
            <w:rPr>
              <w:sz w:val="32"/>
              <w:szCs w:val="32"/>
            </w:rPr>
          </w:pPr>
          <w:r>
            <w:rPr>
              <w:sz w:val="32"/>
              <w:szCs w:val="32"/>
            </w:rPr>
            <w:fldChar w:fldCharType="begin"/>
          </w:r>
          <w:r>
            <w:rPr>
              <w:sz w:val="32"/>
              <w:szCs w:val="32"/>
            </w:rPr>
            <w:instrText xml:space="preserve"> HYPERLINK \l _Toc25182 </w:instrText>
          </w:r>
          <w:r>
            <w:rPr>
              <w:sz w:val="32"/>
              <w:szCs w:val="32"/>
            </w:rPr>
            <w:fldChar w:fldCharType="separate"/>
          </w:r>
          <w:r>
            <w:rPr>
              <w:rFonts w:hint="eastAsia" w:ascii="楷体_GB2312" w:hAnsi="楷体_GB2312" w:eastAsia="楷体_GB2312" w:cs="楷体_GB2312"/>
              <w:bCs/>
              <w:sz w:val="32"/>
              <w:szCs w:val="32"/>
              <w:lang w:val="en-US" w:eastAsia="zh-CN"/>
            </w:rPr>
            <w:t>（一）存量建筑垃圾现状</w:t>
          </w:r>
          <w:r>
            <w:rPr>
              <w:sz w:val="32"/>
              <w:szCs w:val="32"/>
            </w:rPr>
            <w:tab/>
          </w:r>
          <w:r>
            <w:rPr>
              <w:sz w:val="32"/>
              <w:szCs w:val="32"/>
            </w:rPr>
            <w:fldChar w:fldCharType="begin"/>
          </w:r>
          <w:r>
            <w:rPr>
              <w:sz w:val="32"/>
              <w:szCs w:val="32"/>
            </w:rPr>
            <w:instrText xml:space="preserve"> PAGEREF _Toc25182 \h </w:instrText>
          </w:r>
          <w:r>
            <w:rPr>
              <w:sz w:val="32"/>
              <w:szCs w:val="32"/>
            </w:rPr>
            <w:fldChar w:fldCharType="separate"/>
          </w:r>
          <w:r>
            <w:rPr>
              <w:sz w:val="32"/>
              <w:szCs w:val="32"/>
            </w:rPr>
            <w:t>55</w:t>
          </w:r>
          <w:r>
            <w:rPr>
              <w:sz w:val="32"/>
              <w:szCs w:val="32"/>
            </w:rPr>
            <w:fldChar w:fldCharType="end"/>
          </w:r>
          <w:r>
            <w:rPr>
              <w:sz w:val="32"/>
              <w:szCs w:val="32"/>
            </w:rPr>
            <w:fldChar w:fldCharType="end"/>
          </w:r>
        </w:p>
        <w:p w14:paraId="5C143546">
          <w:pPr>
            <w:pStyle w:val="13"/>
            <w:keepNext w:val="0"/>
            <w:keepLines w:val="0"/>
            <w:pageBreakBefore w:val="0"/>
            <w:widowControl w:val="0"/>
            <w:tabs>
              <w:tab w:val="right" w:leader="dot" w:pos="8846"/>
            </w:tabs>
            <w:kinsoku/>
            <w:wordWrap/>
            <w:overflowPunct/>
            <w:topLinePunct w:val="0"/>
            <w:autoSpaceDE/>
            <w:autoSpaceDN/>
            <w:bidi w:val="0"/>
            <w:adjustRightInd/>
            <w:snapToGrid/>
            <w:spacing w:line="560" w:lineRule="exact"/>
            <w:textAlignment w:val="auto"/>
            <w:rPr>
              <w:sz w:val="32"/>
              <w:szCs w:val="32"/>
            </w:rPr>
          </w:pPr>
          <w:r>
            <w:rPr>
              <w:sz w:val="32"/>
              <w:szCs w:val="32"/>
            </w:rPr>
            <w:fldChar w:fldCharType="begin"/>
          </w:r>
          <w:r>
            <w:rPr>
              <w:sz w:val="32"/>
              <w:szCs w:val="32"/>
            </w:rPr>
            <w:instrText xml:space="preserve"> HYPERLINK \l _Toc9393 </w:instrText>
          </w:r>
          <w:r>
            <w:rPr>
              <w:sz w:val="32"/>
              <w:szCs w:val="32"/>
            </w:rPr>
            <w:fldChar w:fldCharType="separate"/>
          </w:r>
          <w:r>
            <w:rPr>
              <w:rFonts w:hint="eastAsia" w:ascii="楷体_GB2312" w:hAnsi="楷体_GB2312" w:eastAsia="楷体_GB2312" w:cs="楷体_GB2312"/>
              <w:bCs/>
              <w:sz w:val="32"/>
              <w:szCs w:val="32"/>
              <w:lang w:val="en-US" w:eastAsia="zh-CN"/>
            </w:rPr>
            <w:t>（二）</w:t>
          </w:r>
          <w:r>
            <w:rPr>
              <w:rFonts w:hint="default" w:ascii="楷体_GB2312" w:hAnsi="楷体_GB2312" w:eastAsia="楷体_GB2312" w:cs="楷体_GB2312"/>
              <w:bCs/>
              <w:sz w:val="32"/>
              <w:szCs w:val="32"/>
              <w:lang w:val="en-US" w:eastAsia="zh-CN"/>
            </w:rPr>
            <w:t>存量治理工作机制</w:t>
          </w:r>
          <w:r>
            <w:rPr>
              <w:sz w:val="32"/>
              <w:szCs w:val="32"/>
            </w:rPr>
            <w:tab/>
          </w:r>
          <w:r>
            <w:rPr>
              <w:sz w:val="32"/>
              <w:szCs w:val="32"/>
            </w:rPr>
            <w:fldChar w:fldCharType="begin"/>
          </w:r>
          <w:r>
            <w:rPr>
              <w:sz w:val="32"/>
              <w:szCs w:val="32"/>
            </w:rPr>
            <w:instrText xml:space="preserve"> PAGEREF _Toc9393 \h </w:instrText>
          </w:r>
          <w:r>
            <w:rPr>
              <w:sz w:val="32"/>
              <w:szCs w:val="32"/>
            </w:rPr>
            <w:fldChar w:fldCharType="separate"/>
          </w:r>
          <w:r>
            <w:rPr>
              <w:sz w:val="32"/>
              <w:szCs w:val="32"/>
            </w:rPr>
            <w:t>55</w:t>
          </w:r>
          <w:r>
            <w:rPr>
              <w:sz w:val="32"/>
              <w:szCs w:val="32"/>
            </w:rPr>
            <w:fldChar w:fldCharType="end"/>
          </w:r>
          <w:r>
            <w:rPr>
              <w:sz w:val="32"/>
              <w:szCs w:val="32"/>
            </w:rPr>
            <w:fldChar w:fldCharType="end"/>
          </w:r>
        </w:p>
        <w:p w14:paraId="530B1CEC">
          <w:pPr>
            <w:pStyle w:val="13"/>
            <w:keepNext w:val="0"/>
            <w:keepLines w:val="0"/>
            <w:pageBreakBefore w:val="0"/>
            <w:widowControl w:val="0"/>
            <w:tabs>
              <w:tab w:val="right" w:leader="dot" w:pos="8846"/>
            </w:tabs>
            <w:kinsoku/>
            <w:wordWrap/>
            <w:overflowPunct/>
            <w:topLinePunct w:val="0"/>
            <w:autoSpaceDE/>
            <w:autoSpaceDN/>
            <w:bidi w:val="0"/>
            <w:adjustRightInd/>
            <w:snapToGrid/>
            <w:spacing w:line="560" w:lineRule="exact"/>
            <w:textAlignment w:val="auto"/>
            <w:rPr>
              <w:sz w:val="32"/>
              <w:szCs w:val="32"/>
            </w:rPr>
          </w:pPr>
          <w:r>
            <w:rPr>
              <w:sz w:val="32"/>
              <w:szCs w:val="32"/>
            </w:rPr>
            <w:fldChar w:fldCharType="begin"/>
          </w:r>
          <w:r>
            <w:rPr>
              <w:sz w:val="32"/>
              <w:szCs w:val="32"/>
            </w:rPr>
            <w:instrText xml:space="preserve"> HYPERLINK \l _Toc16671 </w:instrText>
          </w:r>
          <w:r>
            <w:rPr>
              <w:sz w:val="32"/>
              <w:szCs w:val="32"/>
            </w:rPr>
            <w:fldChar w:fldCharType="separate"/>
          </w:r>
          <w:r>
            <w:rPr>
              <w:rFonts w:hint="eastAsia" w:ascii="楷体_GB2312" w:hAnsi="楷体_GB2312" w:eastAsia="楷体_GB2312" w:cs="楷体_GB2312"/>
              <w:bCs/>
              <w:sz w:val="32"/>
              <w:szCs w:val="32"/>
              <w:lang w:val="en-US" w:eastAsia="zh-CN"/>
            </w:rPr>
            <w:t>（三）</w:t>
          </w:r>
          <w:r>
            <w:rPr>
              <w:rFonts w:hint="default" w:ascii="楷体_GB2312" w:hAnsi="楷体_GB2312" w:eastAsia="楷体_GB2312" w:cs="楷体_GB2312"/>
              <w:bCs/>
              <w:sz w:val="32"/>
              <w:szCs w:val="32"/>
              <w:lang w:val="en-US" w:eastAsia="zh-CN"/>
            </w:rPr>
            <w:t>存量治理要求</w:t>
          </w:r>
          <w:r>
            <w:rPr>
              <w:sz w:val="32"/>
              <w:szCs w:val="32"/>
            </w:rPr>
            <w:tab/>
          </w:r>
          <w:r>
            <w:rPr>
              <w:sz w:val="32"/>
              <w:szCs w:val="32"/>
            </w:rPr>
            <w:fldChar w:fldCharType="begin"/>
          </w:r>
          <w:r>
            <w:rPr>
              <w:sz w:val="32"/>
              <w:szCs w:val="32"/>
            </w:rPr>
            <w:instrText xml:space="preserve"> PAGEREF _Toc16671 \h </w:instrText>
          </w:r>
          <w:r>
            <w:rPr>
              <w:sz w:val="32"/>
              <w:szCs w:val="32"/>
            </w:rPr>
            <w:fldChar w:fldCharType="separate"/>
          </w:r>
          <w:r>
            <w:rPr>
              <w:sz w:val="32"/>
              <w:szCs w:val="32"/>
            </w:rPr>
            <w:t>56</w:t>
          </w:r>
          <w:r>
            <w:rPr>
              <w:sz w:val="32"/>
              <w:szCs w:val="32"/>
            </w:rPr>
            <w:fldChar w:fldCharType="end"/>
          </w:r>
          <w:r>
            <w:rPr>
              <w:sz w:val="32"/>
              <w:szCs w:val="32"/>
            </w:rPr>
            <w:fldChar w:fldCharType="end"/>
          </w:r>
        </w:p>
        <w:p w14:paraId="3D237514">
          <w:pPr>
            <w:pStyle w:val="13"/>
            <w:keepNext w:val="0"/>
            <w:keepLines w:val="0"/>
            <w:pageBreakBefore w:val="0"/>
            <w:widowControl w:val="0"/>
            <w:tabs>
              <w:tab w:val="right" w:leader="dot" w:pos="8846"/>
            </w:tabs>
            <w:kinsoku/>
            <w:wordWrap/>
            <w:overflowPunct/>
            <w:topLinePunct w:val="0"/>
            <w:autoSpaceDE/>
            <w:autoSpaceDN/>
            <w:bidi w:val="0"/>
            <w:adjustRightInd/>
            <w:snapToGrid/>
            <w:spacing w:line="560" w:lineRule="exact"/>
            <w:textAlignment w:val="auto"/>
            <w:rPr>
              <w:sz w:val="32"/>
              <w:szCs w:val="32"/>
            </w:rPr>
          </w:pPr>
          <w:r>
            <w:rPr>
              <w:sz w:val="32"/>
              <w:szCs w:val="32"/>
            </w:rPr>
            <w:fldChar w:fldCharType="begin"/>
          </w:r>
          <w:r>
            <w:rPr>
              <w:sz w:val="32"/>
              <w:szCs w:val="32"/>
            </w:rPr>
            <w:instrText xml:space="preserve"> HYPERLINK \l _Toc7571 </w:instrText>
          </w:r>
          <w:r>
            <w:rPr>
              <w:sz w:val="32"/>
              <w:szCs w:val="32"/>
            </w:rPr>
            <w:fldChar w:fldCharType="separate"/>
          </w:r>
          <w:r>
            <w:rPr>
              <w:rFonts w:hint="eastAsia" w:ascii="楷体_GB2312" w:hAnsi="楷体_GB2312" w:eastAsia="楷体_GB2312" w:cs="楷体_GB2312"/>
              <w:bCs w:val="0"/>
              <w:sz w:val="32"/>
              <w:szCs w:val="32"/>
              <w:lang w:val="en-US" w:eastAsia="zh-CN"/>
            </w:rPr>
            <w:t>（四）存量治理计划</w:t>
          </w:r>
          <w:r>
            <w:rPr>
              <w:sz w:val="32"/>
              <w:szCs w:val="32"/>
            </w:rPr>
            <w:tab/>
          </w:r>
          <w:r>
            <w:rPr>
              <w:sz w:val="32"/>
              <w:szCs w:val="32"/>
            </w:rPr>
            <w:fldChar w:fldCharType="begin"/>
          </w:r>
          <w:r>
            <w:rPr>
              <w:sz w:val="32"/>
              <w:szCs w:val="32"/>
            </w:rPr>
            <w:instrText xml:space="preserve"> PAGEREF _Toc7571 \h </w:instrText>
          </w:r>
          <w:r>
            <w:rPr>
              <w:sz w:val="32"/>
              <w:szCs w:val="32"/>
            </w:rPr>
            <w:fldChar w:fldCharType="separate"/>
          </w:r>
          <w:r>
            <w:rPr>
              <w:sz w:val="32"/>
              <w:szCs w:val="32"/>
            </w:rPr>
            <w:t>57</w:t>
          </w:r>
          <w:r>
            <w:rPr>
              <w:sz w:val="32"/>
              <w:szCs w:val="32"/>
            </w:rPr>
            <w:fldChar w:fldCharType="end"/>
          </w:r>
          <w:r>
            <w:rPr>
              <w:sz w:val="32"/>
              <w:szCs w:val="32"/>
            </w:rPr>
            <w:fldChar w:fldCharType="end"/>
          </w:r>
        </w:p>
        <w:p w14:paraId="1121F848">
          <w:pPr>
            <w:pStyle w:val="12"/>
            <w:keepNext w:val="0"/>
            <w:keepLines w:val="0"/>
            <w:pageBreakBefore w:val="0"/>
            <w:widowControl w:val="0"/>
            <w:tabs>
              <w:tab w:val="right" w:leader="dot" w:pos="8846"/>
            </w:tabs>
            <w:kinsoku/>
            <w:wordWrap/>
            <w:overflowPunct/>
            <w:topLinePunct w:val="0"/>
            <w:autoSpaceDE/>
            <w:autoSpaceDN/>
            <w:bidi w:val="0"/>
            <w:adjustRightInd/>
            <w:snapToGrid/>
            <w:spacing w:line="560" w:lineRule="exact"/>
            <w:textAlignment w:val="auto"/>
            <w:rPr>
              <w:sz w:val="32"/>
              <w:szCs w:val="32"/>
            </w:rPr>
          </w:pPr>
          <w:r>
            <w:rPr>
              <w:sz w:val="32"/>
              <w:szCs w:val="32"/>
            </w:rPr>
            <w:fldChar w:fldCharType="begin"/>
          </w:r>
          <w:r>
            <w:rPr>
              <w:sz w:val="32"/>
              <w:szCs w:val="32"/>
            </w:rPr>
            <w:instrText xml:space="preserve"> HYPERLINK \l _Toc7984 </w:instrText>
          </w:r>
          <w:r>
            <w:rPr>
              <w:sz w:val="32"/>
              <w:szCs w:val="32"/>
            </w:rPr>
            <w:fldChar w:fldCharType="separate"/>
          </w:r>
          <w:r>
            <w:rPr>
              <w:rFonts w:hint="eastAsia" w:ascii="黑体" w:hAnsi="黑体" w:eastAsia="黑体" w:cs="黑体"/>
              <w:bCs w:val="0"/>
              <w:sz w:val="32"/>
              <w:szCs w:val="32"/>
              <w:highlight w:val="none"/>
              <w:lang w:val="en-US" w:eastAsia="zh-CN"/>
            </w:rPr>
            <w:t>九、建筑垃圾产业发展规划</w:t>
          </w:r>
          <w:r>
            <w:rPr>
              <w:sz w:val="32"/>
              <w:szCs w:val="32"/>
            </w:rPr>
            <w:tab/>
          </w:r>
          <w:r>
            <w:rPr>
              <w:sz w:val="32"/>
              <w:szCs w:val="32"/>
            </w:rPr>
            <w:fldChar w:fldCharType="begin"/>
          </w:r>
          <w:r>
            <w:rPr>
              <w:sz w:val="32"/>
              <w:szCs w:val="32"/>
            </w:rPr>
            <w:instrText xml:space="preserve"> PAGEREF _Toc7984 \h </w:instrText>
          </w:r>
          <w:r>
            <w:rPr>
              <w:sz w:val="32"/>
              <w:szCs w:val="32"/>
            </w:rPr>
            <w:fldChar w:fldCharType="separate"/>
          </w:r>
          <w:r>
            <w:rPr>
              <w:sz w:val="32"/>
              <w:szCs w:val="32"/>
            </w:rPr>
            <w:t>59</w:t>
          </w:r>
          <w:r>
            <w:rPr>
              <w:sz w:val="32"/>
              <w:szCs w:val="32"/>
            </w:rPr>
            <w:fldChar w:fldCharType="end"/>
          </w:r>
          <w:r>
            <w:rPr>
              <w:sz w:val="32"/>
              <w:szCs w:val="32"/>
            </w:rPr>
            <w:fldChar w:fldCharType="end"/>
          </w:r>
        </w:p>
        <w:p w14:paraId="2A519728">
          <w:pPr>
            <w:pStyle w:val="13"/>
            <w:keepNext w:val="0"/>
            <w:keepLines w:val="0"/>
            <w:pageBreakBefore w:val="0"/>
            <w:widowControl w:val="0"/>
            <w:tabs>
              <w:tab w:val="right" w:leader="dot" w:pos="8846"/>
            </w:tabs>
            <w:kinsoku/>
            <w:wordWrap/>
            <w:overflowPunct/>
            <w:topLinePunct w:val="0"/>
            <w:autoSpaceDE/>
            <w:autoSpaceDN/>
            <w:bidi w:val="0"/>
            <w:adjustRightInd/>
            <w:snapToGrid/>
            <w:spacing w:line="560" w:lineRule="exact"/>
            <w:textAlignment w:val="auto"/>
            <w:rPr>
              <w:sz w:val="32"/>
              <w:szCs w:val="32"/>
            </w:rPr>
          </w:pPr>
          <w:r>
            <w:rPr>
              <w:sz w:val="32"/>
              <w:szCs w:val="32"/>
            </w:rPr>
            <w:fldChar w:fldCharType="begin"/>
          </w:r>
          <w:r>
            <w:rPr>
              <w:sz w:val="32"/>
              <w:szCs w:val="32"/>
            </w:rPr>
            <w:instrText xml:space="preserve"> HYPERLINK \l _Toc4321 </w:instrText>
          </w:r>
          <w:r>
            <w:rPr>
              <w:sz w:val="32"/>
              <w:szCs w:val="32"/>
            </w:rPr>
            <w:fldChar w:fldCharType="separate"/>
          </w:r>
          <w:r>
            <w:rPr>
              <w:rFonts w:hint="eastAsia" w:ascii="楷体_GB2312" w:hAnsi="楷体_GB2312" w:eastAsia="楷体_GB2312" w:cs="楷体_GB2312"/>
              <w:bCs w:val="0"/>
              <w:sz w:val="32"/>
              <w:szCs w:val="32"/>
              <w:highlight w:val="none"/>
              <w:lang w:val="en-US" w:eastAsia="zh-CN"/>
            </w:rPr>
            <w:t>（一）产业发展重点</w:t>
          </w:r>
          <w:r>
            <w:rPr>
              <w:sz w:val="32"/>
              <w:szCs w:val="32"/>
            </w:rPr>
            <w:tab/>
          </w:r>
          <w:r>
            <w:rPr>
              <w:sz w:val="32"/>
              <w:szCs w:val="32"/>
            </w:rPr>
            <w:fldChar w:fldCharType="begin"/>
          </w:r>
          <w:r>
            <w:rPr>
              <w:sz w:val="32"/>
              <w:szCs w:val="32"/>
            </w:rPr>
            <w:instrText xml:space="preserve"> PAGEREF _Toc4321 \h </w:instrText>
          </w:r>
          <w:r>
            <w:rPr>
              <w:sz w:val="32"/>
              <w:szCs w:val="32"/>
            </w:rPr>
            <w:fldChar w:fldCharType="separate"/>
          </w:r>
          <w:r>
            <w:rPr>
              <w:sz w:val="32"/>
              <w:szCs w:val="32"/>
            </w:rPr>
            <w:t>59</w:t>
          </w:r>
          <w:r>
            <w:rPr>
              <w:sz w:val="32"/>
              <w:szCs w:val="32"/>
            </w:rPr>
            <w:fldChar w:fldCharType="end"/>
          </w:r>
          <w:r>
            <w:rPr>
              <w:sz w:val="32"/>
              <w:szCs w:val="32"/>
            </w:rPr>
            <w:fldChar w:fldCharType="end"/>
          </w:r>
        </w:p>
        <w:p w14:paraId="53FEED2D">
          <w:pPr>
            <w:pStyle w:val="13"/>
            <w:keepNext w:val="0"/>
            <w:keepLines w:val="0"/>
            <w:pageBreakBefore w:val="0"/>
            <w:widowControl w:val="0"/>
            <w:tabs>
              <w:tab w:val="right" w:leader="dot" w:pos="8846"/>
            </w:tabs>
            <w:kinsoku/>
            <w:wordWrap/>
            <w:overflowPunct/>
            <w:topLinePunct w:val="0"/>
            <w:autoSpaceDE/>
            <w:autoSpaceDN/>
            <w:bidi w:val="0"/>
            <w:adjustRightInd/>
            <w:snapToGrid/>
            <w:spacing w:line="560" w:lineRule="exact"/>
            <w:textAlignment w:val="auto"/>
            <w:rPr>
              <w:sz w:val="32"/>
              <w:szCs w:val="32"/>
            </w:rPr>
          </w:pPr>
          <w:r>
            <w:rPr>
              <w:sz w:val="32"/>
              <w:szCs w:val="32"/>
            </w:rPr>
            <w:fldChar w:fldCharType="begin"/>
          </w:r>
          <w:r>
            <w:rPr>
              <w:sz w:val="32"/>
              <w:szCs w:val="32"/>
            </w:rPr>
            <w:instrText xml:space="preserve"> HYPERLINK \l _Toc26086 </w:instrText>
          </w:r>
          <w:r>
            <w:rPr>
              <w:sz w:val="32"/>
              <w:szCs w:val="32"/>
            </w:rPr>
            <w:fldChar w:fldCharType="separate"/>
          </w:r>
          <w:r>
            <w:rPr>
              <w:rFonts w:hint="eastAsia" w:ascii="楷体_GB2312" w:hAnsi="楷体_GB2312" w:eastAsia="楷体_GB2312" w:cs="楷体_GB2312"/>
              <w:bCs w:val="0"/>
              <w:sz w:val="32"/>
              <w:szCs w:val="32"/>
              <w:highlight w:val="none"/>
              <w:lang w:val="en-US" w:eastAsia="zh-CN"/>
            </w:rPr>
            <w:t>（二）产品质量管控</w:t>
          </w:r>
          <w:r>
            <w:rPr>
              <w:sz w:val="32"/>
              <w:szCs w:val="32"/>
            </w:rPr>
            <w:tab/>
          </w:r>
          <w:r>
            <w:rPr>
              <w:sz w:val="32"/>
              <w:szCs w:val="32"/>
            </w:rPr>
            <w:fldChar w:fldCharType="begin"/>
          </w:r>
          <w:r>
            <w:rPr>
              <w:sz w:val="32"/>
              <w:szCs w:val="32"/>
            </w:rPr>
            <w:instrText xml:space="preserve"> PAGEREF _Toc26086 \h </w:instrText>
          </w:r>
          <w:r>
            <w:rPr>
              <w:sz w:val="32"/>
              <w:szCs w:val="32"/>
            </w:rPr>
            <w:fldChar w:fldCharType="separate"/>
          </w:r>
          <w:r>
            <w:rPr>
              <w:sz w:val="32"/>
              <w:szCs w:val="32"/>
            </w:rPr>
            <w:t>59</w:t>
          </w:r>
          <w:r>
            <w:rPr>
              <w:sz w:val="32"/>
              <w:szCs w:val="32"/>
            </w:rPr>
            <w:fldChar w:fldCharType="end"/>
          </w:r>
          <w:r>
            <w:rPr>
              <w:sz w:val="32"/>
              <w:szCs w:val="32"/>
            </w:rPr>
            <w:fldChar w:fldCharType="end"/>
          </w:r>
        </w:p>
        <w:p w14:paraId="4C7F2282">
          <w:pPr>
            <w:pStyle w:val="13"/>
            <w:keepNext w:val="0"/>
            <w:keepLines w:val="0"/>
            <w:pageBreakBefore w:val="0"/>
            <w:widowControl w:val="0"/>
            <w:tabs>
              <w:tab w:val="right" w:leader="dot" w:pos="8846"/>
            </w:tabs>
            <w:kinsoku/>
            <w:wordWrap/>
            <w:overflowPunct/>
            <w:topLinePunct w:val="0"/>
            <w:autoSpaceDE/>
            <w:autoSpaceDN/>
            <w:bidi w:val="0"/>
            <w:adjustRightInd/>
            <w:snapToGrid/>
            <w:spacing w:line="560" w:lineRule="exact"/>
            <w:textAlignment w:val="auto"/>
            <w:rPr>
              <w:sz w:val="32"/>
              <w:szCs w:val="32"/>
            </w:rPr>
          </w:pPr>
          <w:r>
            <w:rPr>
              <w:sz w:val="32"/>
              <w:szCs w:val="32"/>
            </w:rPr>
            <w:fldChar w:fldCharType="begin"/>
          </w:r>
          <w:r>
            <w:rPr>
              <w:sz w:val="32"/>
              <w:szCs w:val="32"/>
            </w:rPr>
            <w:instrText xml:space="preserve"> HYPERLINK \l _Toc32636 </w:instrText>
          </w:r>
          <w:r>
            <w:rPr>
              <w:sz w:val="32"/>
              <w:szCs w:val="32"/>
            </w:rPr>
            <w:fldChar w:fldCharType="separate"/>
          </w:r>
          <w:r>
            <w:rPr>
              <w:rFonts w:hint="eastAsia" w:ascii="楷体_GB2312" w:hAnsi="楷体_GB2312" w:eastAsia="楷体_GB2312" w:cs="楷体_GB2312"/>
              <w:bCs w:val="0"/>
              <w:sz w:val="32"/>
              <w:szCs w:val="32"/>
              <w:highlight w:val="none"/>
              <w:lang w:val="en-US" w:eastAsia="zh-CN"/>
            </w:rPr>
            <w:t>（三）产业支持策略</w:t>
          </w:r>
          <w:r>
            <w:rPr>
              <w:sz w:val="32"/>
              <w:szCs w:val="32"/>
            </w:rPr>
            <w:tab/>
          </w:r>
          <w:r>
            <w:rPr>
              <w:sz w:val="32"/>
              <w:szCs w:val="32"/>
            </w:rPr>
            <w:fldChar w:fldCharType="begin"/>
          </w:r>
          <w:r>
            <w:rPr>
              <w:sz w:val="32"/>
              <w:szCs w:val="32"/>
            </w:rPr>
            <w:instrText xml:space="preserve"> PAGEREF _Toc32636 \h </w:instrText>
          </w:r>
          <w:r>
            <w:rPr>
              <w:sz w:val="32"/>
              <w:szCs w:val="32"/>
            </w:rPr>
            <w:fldChar w:fldCharType="separate"/>
          </w:r>
          <w:r>
            <w:rPr>
              <w:sz w:val="32"/>
              <w:szCs w:val="32"/>
            </w:rPr>
            <w:t>60</w:t>
          </w:r>
          <w:r>
            <w:rPr>
              <w:sz w:val="32"/>
              <w:szCs w:val="32"/>
            </w:rPr>
            <w:fldChar w:fldCharType="end"/>
          </w:r>
          <w:r>
            <w:rPr>
              <w:sz w:val="32"/>
              <w:szCs w:val="32"/>
            </w:rPr>
            <w:fldChar w:fldCharType="end"/>
          </w:r>
        </w:p>
        <w:p w14:paraId="3A8AD07B">
          <w:pPr>
            <w:pStyle w:val="12"/>
            <w:keepNext w:val="0"/>
            <w:keepLines w:val="0"/>
            <w:pageBreakBefore w:val="0"/>
            <w:widowControl w:val="0"/>
            <w:tabs>
              <w:tab w:val="right" w:leader="dot" w:pos="8846"/>
            </w:tabs>
            <w:kinsoku/>
            <w:wordWrap/>
            <w:overflowPunct/>
            <w:topLinePunct w:val="0"/>
            <w:autoSpaceDE/>
            <w:autoSpaceDN/>
            <w:bidi w:val="0"/>
            <w:adjustRightInd/>
            <w:snapToGrid/>
            <w:spacing w:line="560" w:lineRule="exact"/>
            <w:textAlignment w:val="auto"/>
            <w:rPr>
              <w:sz w:val="32"/>
              <w:szCs w:val="32"/>
            </w:rPr>
          </w:pPr>
          <w:r>
            <w:rPr>
              <w:sz w:val="32"/>
              <w:szCs w:val="32"/>
            </w:rPr>
            <w:fldChar w:fldCharType="begin"/>
          </w:r>
          <w:r>
            <w:rPr>
              <w:sz w:val="32"/>
              <w:szCs w:val="32"/>
            </w:rPr>
            <w:instrText xml:space="preserve"> HYPERLINK \l _Toc25594 </w:instrText>
          </w:r>
          <w:r>
            <w:rPr>
              <w:sz w:val="32"/>
              <w:szCs w:val="32"/>
            </w:rPr>
            <w:fldChar w:fldCharType="separate"/>
          </w:r>
          <w:r>
            <w:rPr>
              <w:rFonts w:hint="eastAsia" w:ascii="黑体" w:hAnsi="黑体" w:eastAsia="黑体" w:cs="黑体"/>
              <w:bCs w:val="0"/>
              <w:kern w:val="2"/>
              <w:sz w:val="32"/>
              <w:szCs w:val="32"/>
              <w:highlight w:val="none"/>
              <w:lang w:val="en-US" w:eastAsia="zh-CN" w:bidi="ar-SA"/>
            </w:rPr>
            <w:t>十、建筑垃圾监督管理体系规划</w:t>
          </w:r>
          <w:r>
            <w:rPr>
              <w:sz w:val="32"/>
              <w:szCs w:val="32"/>
            </w:rPr>
            <w:tab/>
          </w:r>
          <w:r>
            <w:rPr>
              <w:sz w:val="32"/>
              <w:szCs w:val="32"/>
            </w:rPr>
            <w:fldChar w:fldCharType="begin"/>
          </w:r>
          <w:r>
            <w:rPr>
              <w:sz w:val="32"/>
              <w:szCs w:val="32"/>
            </w:rPr>
            <w:instrText xml:space="preserve"> PAGEREF _Toc25594 \h </w:instrText>
          </w:r>
          <w:r>
            <w:rPr>
              <w:sz w:val="32"/>
              <w:szCs w:val="32"/>
            </w:rPr>
            <w:fldChar w:fldCharType="separate"/>
          </w:r>
          <w:r>
            <w:rPr>
              <w:sz w:val="32"/>
              <w:szCs w:val="32"/>
            </w:rPr>
            <w:t>62</w:t>
          </w:r>
          <w:r>
            <w:rPr>
              <w:sz w:val="32"/>
              <w:szCs w:val="32"/>
            </w:rPr>
            <w:fldChar w:fldCharType="end"/>
          </w:r>
          <w:r>
            <w:rPr>
              <w:sz w:val="32"/>
              <w:szCs w:val="32"/>
            </w:rPr>
            <w:fldChar w:fldCharType="end"/>
          </w:r>
        </w:p>
        <w:p w14:paraId="4D5F143D">
          <w:pPr>
            <w:pStyle w:val="13"/>
            <w:keepNext w:val="0"/>
            <w:keepLines w:val="0"/>
            <w:pageBreakBefore w:val="0"/>
            <w:widowControl w:val="0"/>
            <w:tabs>
              <w:tab w:val="right" w:leader="dot" w:pos="8846"/>
            </w:tabs>
            <w:kinsoku/>
            <w:wordWrap/>
            <w:overflowPunct/>
            <w:topLinePunct w:val="0"/>
            <w:autoSpaceDE/>
            <w:autoSpaceDN/>
            <w:bidi w:val="0"/>
            <w:adjustRightInd/>
            <w:snapToGrid/>
            <w:spacing w:line="560" w:lineRule="exact"/>
            <w:textAlignment w:val="auto"/>
            <w:rPr>
              <w:sz w:val="32"/>
              <w:szCs w:val="32"/>
            </w:rPr>
          </w:pPr>
          <w:r>
            <w:rPr>
              <w:sz w:val="32"/>
              <w:szCs w:val="32"/>
            </w:rPr>
            <w:fldChar w:fldCharType="begin"/>
          </w:r>
          <w:r>
            <w:rPr>
              <w:sz w:val="32"/>
              <w:szCs w:val="32"/>
            </w:rPr>
            <w:instrText xml:space="preserve"> HYPERLINK \l _Toc28973 </w:instrText>
          </w:r>
          <w:r>
            <w:rPr>
              <w:sz w:val="32"/>
              <w:szCs w:val="32"/>
            </w:rPr>
            <w:fldChar w:fldCharType="separate"/>
          </w:r>
          <w:r>
            <w:rPr>
              <w:rFonts w:hint="eastAsia" w:ascii="楷体_GB2312" w:hAnsi="楷体_GB2312" w:eastAsia="楷体_GB2312" w:cs="楷体_GB2312"/>
              <w:bCs w:val="0"/>
              <w:kern w:val="2"/>
              <w:sz w:val="32"/>
              <w:szCs w:val="32"/>
              <w:highlight w:val="none"/>
              <w:lang w:val="en-US" w:eastAsia="zh-CN" w:bidi="ar-SA"/>
            </w:rPr>
            <w:t>（一）管理制度机制建设</w:t>
          </w:r>
          <w:r>
            <w:rPr>
              <w:sz w:val="32"/>
              <w:szCs w:val="32"/>
            </w:rPr>
            <w:tab/>
          </w:r>
          <w:r>
            <w:rPr>
              <w:sz w:val="32"/>
              <w:szCs w:val="32"/>
            </w:rPr>
            <w:fldChar w:fldCharType="begin"/>
          </w:r>
          <w:r>
            <w:rPr>
              <w:sz w:val="32"/>
              <w:szCs w:val="32"/>
            </w:rPr>
            <w:instrText xml:space="preserve"> PAGEREF _Toc28973 \h </w:instrText>
          </w:r>
          <w:r>
            <w:rPr>
              <w:sz w:val="32"/>
              <w:szCs w:val="32"/>
            </w:rPr>
            <w:fldChar w:fldCharType="separate"/>
          </w:r>
          <w:r>
            <w:rPr>
              <w:sz w:val="32"/>
              <w:szCs w:val="32"/>
            </w:rPr>
            <w:t>62</w:t>
          </w:r>
          <w:r>
            <w:rPr>
              <w:sz w:val="32"/>
              <w:szCs w:val="32"/>
            </w:rPr>
            <w:fldChar w:fldCharType="end"/>
          </w:r>
          <w:r>
            <w:rPr>
              <w:sz w:val="32"/>
              <w:szCs w:val="32"/>
            </w:rPr>
            <w:fldChar w:fldCharType="end"/>
          </w:r>
        </w:p>
        <w:p w14:paraId="7E18E947">
          <w:pPr>
            <w:pStyle w:val="13"/>
            <w:keepNext w:val="0"/>
            <w:keepLines w:val="0"/>
            <w:pageBreakBefore w:val="0"/>
            <w:widowControl w:val="0"/>
            <w:tabs>
              <w:tab w:val="right" w:leader="dot" w:pos="8846"/>
            </w:tabs>
            <w:kinsoku/>
            <w:wordWrap/>
            <w:overflowPunct/>
            <w:topLinePunct w:val="0"/>
            <w:autoSpaceDE/>
            <w:autoSpaceDN/>
            <w:bidi w:val="0"/>
            <w:adjustRightInd/>
            <w:snapToGrid/>
            <w:spacing w:line="560" w:lineRule="exact"/>
            <w:textAlignment w:val="auto"/>
            <w:rPr>
              <w:sz w:val="32"/>
              <w:szCs w:val="32"/>
            </w:rPr>
          </w:pPr>
          <w:r>
            <w:rPr>
              <w:sz w:val="32"/>
              <w:szCs w:val="32"/>
            </w:rPr>
            <w:fldChar w:fldCharType="begin"/>
          </w:r>
          <w:r>
            <w:rPr>
              <w:sz w:val="32"/>
              <w:szCs w:val="32"/>
            </w:rPr>
            <w:instrText xml:space="preserve"> HYPERLINK \l _Toc28220 </w:instrText>
          </w:r>
          <w:r>
            <w:rPr>
              <w:sz w:val="32"/>
              <w:szCs w:val="32"/>
            </w:rPr>
            <w:fldChar w:fldCharType="separate"/>
          </w:r>
          <w:r>
            <w:rPr>
              <w:rFonts w:hint="eastAsia" w:ascii="楷体_GB2312" w:hAnsi="楷体_GB2312" w:eastAsia="楷体_GB2312" w:cs="楷体_GB2312"/>
              <w:bCs w:val="0"/>
              <w:kern w:val="2"/>
              <w:sz w:val="32"/>
              <w:szCs w:val="32"/>
              <w:highlight w:val="none"/>
              <w:lang w:val="en-US" w:eastAsia="zh-CN" w:bidi="ar-SA"/>
            </w:rPr>
            <w:t>（二）部门职责</w:t>
          </w:r>
          <w:r>
            <w:rPr>
              <w:sz w:val="32"/>
              <w:szCs w:val="32"/>
            </w:rPr>
            <w:tab/>
          </w:r>
          <w:r>
            <w:rPr>
              <w:sz w:val="32"/>
              <w:szCs w:val="32"/>
            </w:rPr>
            <w:fldChar w:fldCharType="begin"/>
          </w:r>
          <w:r>
            <w:rPr>
              <w:sz w:val="32"/>
              <w:szCs w:val="32"/>
            </w:rPr>
            <w:instrText xml:space="preserve"> PAGEREF _Toc28220 \h </w:instrText>
          </w:r>
          <w:r>
            <w:rPr>
              <w:sz w:val="32"/>
              <w:szCs w:val="32"/>
            </w:rPr>
            <w:fldChar w:fldCharType="separate"/>
          </w:r>
          <w:r>
            <w:rPr>
              <w:sz w:val="32"/>
              <w:szCs w:val="32"/>
            </w:rPr>
            <w:t>62</w:t>
          </w:r>
          <w:r>
            <w:rPr>
              <w:sz w:val="32"/>
              <w:szCs w:val="32"/>
            </w:rPr>
            <w:fldChar w:fldCharType="end"/>
          </w:r>
          <w:r>
            <w:rPr>
              <w:sz w:val="32"/>
              <w:szCs w:val="32"/>
            </w:rPr>
            <w:fldChar w:fldCharType="end"/>
          </w:r>
        </w:p>
        <w:p w14:paraId="49657B02">
          <w:pPr>
            <w:pStyle w:val="13"/>
            <w:keepNext w:val="0"/>
            <w:keepLines w:val="0"/>
            <w:pageBreakBefore w:val="0"/>
            <w:widowControl w:val="0"/>
            <w:tabs>
              <w:tab w:val="right" w:leader="dot" w:pos="8846"/>
            </w:tabs>
            <w:kinsoku/>
            <w:wordWrap/>
            <w:overflowPunct/>
            <w:topLinePunct w:val="0"/>
            <w:autoSpaceDE/>
            <w:autoSpaceDN/>
            <w:bidi w:val="0"/>
            <w:adjustRightInd/>
            <w:snapToGrid/>
            <w:spacing w:line="560" w:lineRule="exact"/>
            <w:textAlignment w:val="auto"/>
            <w:rPr>
              <w:sz w:val="32"/>
              <w:szCs w:val="32"/>
            </w:rPr>
          </w:pPr>
          <w:r>
            <w:rPr>
              <w:sz w:val="32"/>
              <w:szCs w:val="32"/>
            </w:rPr>
            <w:fldChar w:fldCharType="begin"/>
          </w:r>
          <w:r>
            <w:rPr>
              <w:sz w:val="32"/>
              <w:szCs w:val="32"/>
            </w:rPr>
            <w:instrText xml:space="preserve"> HYPERLINK \l _Toc19210 </w:instrText>
          </w:r>
          <w:r>
            <w:rPr>
              <w:sz w:val="32"/>
              <w:szCs w:val="32"/>
            </w:rPr>
            <w:fldChar w:fldCharType="separate"/>
          </w:r>
          <w:r>
            <w:rPr>
              <w:rFonts w:hint="eastAsia" w:ascii="楷体_GB2312" w:hAnsi="楷体_GB2312" w:eastAsia="楷体_GB2312" w:cs="楷体_GB2312"/>
              <w:bCs w:val="0"/>
              <w:kern w:val="2"/>
              <w:sz w:val="32"/>
              <w:szCs w:val="32"/>
              <w:highlight w:val="none"/>
              <w:lang w:val="en-US" w:eastAsia="zh-CN" w:bidi="ar-SA"/>
            </w:rPr>
            <w:t>（三）制度完善</w:t>
          </w:r>
          <w:r>
            <w:rPr>
              <w:sz w:val="32"/>
              <w:szCs w:val="32"/>
            </w:rPr>
            <w:tab/>
          </w:r>
          <w:r>
            <w:rPr>
              <w:sz w:val="32"/>
              <w:szCs w:val="32"/>
            </w:rPr>
            <w:fldChar w:fldCharType="begin"/>
          </w:r>
          <w:r>
            <w:rPr>
              <w:sz w:val="32"/>
              <w:szCs w:val="32"/>
            </w:rPr>
            <w:instrText xml:space="preserve"> PAGEREF _Toc19210 \h </w:instrText>
          </w:r>
          <w:r>
            <w:rPr>
              <w:sz w:val="32"/>
              <w:szCs w:val="32"/>
            </w:rPr>
            <w:fldChar w:fldCharType="separate"/>
          </w:r>
          <w:r>
            <w:rPr>
              <w:sz w:val="32"/>
              <w:szCs w:val="32"/>
            </w:rPr>
            <w:t>64</w:t>
          </w:r>
          <w:r>
            <w:rPr>
              <w:sz w:val="32"/>
              <w:szCs w:val="32"/>
            </w:rPr>
            <w:fldChar w:fldCharType="end"/>
          </w:r>
          <w:r>
            <w:rPr>
              <w:sz w:val="32"/>
              <w:szCs w:val="32"/>
            </w:rPr>
            <w:fldChar w:fldCharType="end"/>
          </w:r>
        </w:p>
        <w:p w14:paraId="05E4042C">
          <w:pPr>
            <w:pStyle w:val="13"/>
            <w:keepNext w:val="0"/>
            <w:keepLines w:val="0"/>
            <w:pageBreakBefore w:val="0"/>
            <w:widowControl w:val="0"/>
            <w:tabs>
              <w:tab w:val="right" w:leader="dot" w:pos="8846"/>
            </w:tabs>
            <w:kinsoku/>
            <w:wordWrap/>
            <w:overflowPunct/>
            <w:topLinePunct w:val="0"/>
            <w:autoSpaceDE/>
            <w:autoSpaceDN/>
            <w:bidi w:val="0"/>
            <w:adjustRightInd/>
            <w:snapToGrid/>
            <w:spacing w:line="560" w:lineRule="exact"/>
            <w:textAlignment w:val="auto"/>
            <w:rPr>
              <w:sz w:val="32"/>
              <w:szCs w:val="32"/>
            </w:rPr>
          </w:pPr>
          <w:r>
            <w:rPr>
              <w:sz w:val="32"/>
              <w:szCs w:val="32"/>
            </w:rPr>
            <w:fldChar w:fldCharType="begin"/>
          </w:r>
          <w:r>
            <w:rPr>
              <w:sz w:val="32"/>
              <w:szCs w:val="32"/>
            </w:rPr>
            <w:instrText xml:space="preserve"> HYPERLINK \l _Toc13029 </w:instrText>
          </w:r>
          <w:r>
            <w:rPr>
              <w:sz w:val="32"/>
              <w:szCs w:val="32"/>
            </w:rPr>
            <w:fldChar w:fldCharType="separate"/>
          </w:r>
          <w:r>
            <w:rPr>
              <w:rFonts w:hint="eastAsia" w:ascii="楷体_GB2312" w:hAnsi="楷体_GB2312" w:eastAsia="楷体_GB2312" w:cs="楷体_GB2312"/>
              <w:bCs w:val="0"/>
              <w:kern w:val="2"/>
              <w:sz w:val="32"/>
              <w:szCs w:val="32"/>
              <w:highlight w:val="none"/>
              <w:lang w:val="en-US" w:eastAsia="zh-CN" w:bidi="ar-SA"/>
            </w:rPr>
            <w:t>（四）信息化监管</w:t>
          </w:r>
          <w:r>
            <w:rPr>
              <w:sz w:val="32"/>
              <w:szCs w:val="32"/>
            </w:rPr>
            <w:tab/>
          </w:r>
          <w:r>
            <w:rPr>
              <w:sz w:val="32"/>
              <w:szCs w:val="32"/>
            </w:rPr>
            <w:fldChar w:fldCharType="begin"/>
          </w:r>
          <w:r>
            <w:rPr>
              <w:sz w:val="32"/>
              <w:szCs w:val="32"/>
            </w:rPr>
            <w:instrText xml:space="preserve"> PAGEREF _Toc13029 \h </w:instrText>
          </w:r>
          <w:r>
            <w:rPr>
              <w:sz w:val="32"/>
              <w:szCs w:val="32"/>
            </w:rPr>
            <w:fldChar w:fldCharType="separate"/>
          </w:r>
          <w:r>
            <w:rPr>
              <w:sz w:val="32"/>
              <w:szCs w:val="32"/>
            </w:rPr>
            <w:t>66</w:t>
          </w:r>
          <w:r>
            <w:rPr>
              <w:sz w:val="32"/>
              <w:szCs w:val="32"/>
            </w:rPr>
            <w:fldChar w:fldCharType="end"/>
          </w:r>
          <w:r>
            <w:rPr>
              <w:sz w:val="32"/>
              <w:szCs w:val="32"/>
            </w:rPr>
            <w:fldChar w:fldCharType="end"/>
          </w:r>
        </w:p>
        <w:p w14:paraId="76483477">
          <w:pPr>
            <w:pStyle w:val="13"/>
            <w:keepNext w:val="0"/>
            <w:keepLines w:val="0"/>
            <w:pageBreakBefore w:val="0"/>
            <w:widowControl w:val="0"/>
            <w:tabs>
              <w:tab w:val="right" w:leader="dot" w:pos="8846"/>
            </w:tabs>
            <w:kinsoku/>
            <w:wordWrap/>
            <w:overflowPunct/>
            <w:topLinePunct w:val="0"/>
            <w:autoSpaceDE/>
            <w:autoSpaceDN/>
            <w:bidi w:val="0"/>
            <w:adjustRightInd/>
            <w:snapToGrid/>
            <w:spacing w:line="560" w:lineRule="exact"/>
            <w:textAlignment w:val="auto"/>
            <w:rPr>
              <w:sz w:val="32"/>
              <w:szCs w:val="32"/>
            </w:rPr>
          </w:pPr>
          <w:r>
            <w:rPr>
              <w:sz w:val="32"/>
              <w:szCs w:val="32"/>
            </w:rPr>
            <w:fldChar w:fldCharType="begin"/>
          </w:r>
          <w:r>
            <w:rPr>
              <w:sz w:val="32"/>
              <w:szCs w:val="32"/>
            </w:rPr>
            <w:instrText xml:space="preserve"> HYPERLINK \l _Toc20979 </w:instrText>
          </w:r>
          <w:r>
            <w:rPr>
              <w:sz w:val="32"/>
              <w:szCs w:val="32"/>
            </w:rPr>
            <w:fldChar w:fldCharType="separate"/>
          </w:r>
          <w:r>
            <w:rPr>
              <w:rFonts w:hint="eastAsia" w:ascii="楷体_GB2312" w:hAnsi="楷体_GB2312" w:eastAsia="楷体_GB2312" w:cs="楷体_GB2312"/>
              <w:bCs w:val="0"/>
              <w:kern w:val="2"/>
              <w:sz w:val="32"/>
              <w:szCs w:val="32"/>
              <w:highlight w:val="none"/>
              <w:lang w:val="en-US" w:eastAsia="zh-CN" w:bidi="ar-SA"/>
            </w:rPr>
            <w:t>（五）执法队伍及人才队伍建设</w:t>
          </w:r>
          <w:r>
            <w:rPr>
              <w:sz w:val="32"/>
              <w:szCs w:val="32"/>
            </w:rPr>
            <w:tab/>
          </w:r>
          <w:r>
            <w:rPr>
              <w:sz w:val="32"/>
              <w:szCs w:val="32"/>
            </w:rPr>
            <w:fldChar w:fldCharType="begin"/>
          </w:r>
          <w:r>
            <w:rPr>
              <w:sz w:val="32"/>
              <w:szCs w:val="32"/>
            </w:rPr>
            <w:instrText xml:space="preserve"> PAGEREF _Toc20979 \h </w:instrText>
          </w:r>
          <w:r>
            <w:rPr>
              <w:sz w:val="32"/>
              <w:szCs w:val="32"/>
            </w:rPr>
            <w:fldChar w:fldCharType="separate"/>
          </w:r>
          <w:r>
            <w:rPr>
              <w:sz w:val="32"/>
              <w:szCs w:val="32"/>
            </w:rPr>
            <w:t>67</w:t>
          </w:r>
          <w:r>
            <w:rPr>
              <w:sz w:val="32"/>
              <w:szCs w:val="32"/>
            </w:rPr>
            <w:fldChar w:fldCharType="end"/>
          </w:r>
          <w:r>
            <w:rPr>
              <w:sz w:val="32"/>
              <w:szCs w:val="32"/>
            </w:rPr>
            <w:fldChar w:fldCharType="end"/>
          </w:r>
        </w:p>
        <w:p w14:paraId="14F9AB64">
          <w:pPr>
            <w:pStyle w:val="13"/>
            <w:keepNext w:val="0"/>
            <w:keepLines w:val="0"/>
            <w:pageBreakBefore w:val="0"/>
            <w:widowControl w:val="0"/>
            <w:tabs>
              <w:tab w:val="right" w:leader="dot" w:pos="8846"/>
            </w:tabs>
            <w:kinsoku/>
            <w:wordWrap/>
            <w:overflowPunct/>
            <w:topLinePunct w:val="0"/>
            <w:autoSpaceDE/>
            <w:autoSpaceDN/>
            <w:bidi w:val="0"/>
            <w:adjustRightInd/>
            <w:snapToGrid/>
            <w:spacing w:line="560" w:lineRule="exact"/>
            <w:textAlignment w:val="auto"/>
            <w:rPr>
              <w:sz w:val="32"/>
              <w:szCs w:val="32"/>
            </w:rPr>
          </w:pPr>
          <w:r>
            <w:rPr>
              <w:sz w:val="32"/>
              <w:szCs w:val="32"/>
            </w:rPr>
            <w:fldChar w:fldCharType="begin"/>
          </w:r>
          <w:r>
            <w:rPr>
              <w:sz w:val="32"/>
              <w:szCs w:val="32"/>
            </w:rPr>
            <w:instrText xml:space="preserve"> HYPERLINK \l _Toc15514 </w:instrText>
          </w:r>
          <w:r>
            <w:rPr>
              <w:sz w:val="32"/>
              <w:szCs w:val="32"/>
            </w:rPr>
            <w:fldChar w:fldCharType="separate"/>
          </w:r>
          <w:r>
            <w:rPr>
              <w:rFonts w:hint="eastAsia" w:ascii="楷体_GB2312" w:hAnsi="楷体_GB2312" w:eastAsia="楷体_GB2312" w:cs="楷体_GB2312"/>
              <w:bCs w:val="0"/>
              <w:kern w:val="2"/>
              <w:sz w:val="32"/>
              <w:szCs w:val="32"/>
              <w:highlight w:val="none"/>
              <w:lang w:val="en-US" w:eastAsia="zh-CN" w:bidi="ar-SA"/>
            </w:rPr>
            <w:t>（六）突发事件应急管理体系</w:t>
          </w:r>
          <w:r>
            <w:rPr>
              <w:sz w:val="32"/>
              <w:szCs w:val="32"/>
            </w:rPr>
            <w:tab/>
          </w:r>
          <w:r>
            <w:rPr>
              <w:sz w:val="32"/>
              <w:szCs w:val="32"/>
            </w:rPr>
            <w:fldChar w:fldCharType="begin"/>
          </w:r>
          <w:r>
            <w:rPr>
              <w:sz w:val="32"/>
              <w:szCs w:val="32"/>
            </w:rPr>
            <w:instrText xml:space="preserve"> PAGEREF _Toc15514 \h </w:instrText>
          </w:r>
          <w:r>
            <w:rPr>
              <w:sz w:val="32"/>
              <w:szCs w:val="32"/>
            </w:rPr>
            <w:fldChar w:fldCharType="separate"/>
          </w:r>
          <w:r>
            <w:rPr>
              <w:sz w:val="32"/>
              <w:szCs w:val="32"/>
            </w:rPr>
            <w:t>69</w:t>
          </w:r>
          <w:r>
            <w:rPr>
              <w:sz w:val="32"/>
              <w:szCs w:val="32"/>
            </w:rPr>
            <w:fldChar w:fldCharType="end"/>
          </w:r>
          <w:r>
            <w:rPr>
              <w:sz w:val="32"/>
              <w:szCs w:val="32"/>
            </w:rPr>
            <w:fldChar w:fldCharType="end"/>
          </w:r>
        </w:p>
        <w:p w14:paraId="450F64F2">
          <w:pPr>
            <w:pStyle w:val="12"/>
            <w:keepNext w:val="0"/>
            <w:keepLines w:val="0"/>
            <w:pageBreakBefore w:val="0"/>
            <w:widowControl w:val="0"/>
            <w:tabs>
              <w:tab w:val="right" w:leader="dot" w:pos="8846"/>
            </w:tabs>
            <w:kinsoku/>
            <w:wordWrap/>
            <w:overflowPunct/>
            <w:topLinePunct w:val="0"/>
            <w:autoSpaceDE/>
            <w:autoSpaceDN/>
            <w:bidi w:val="0"/>
            <w:adjustRightInd/>
            <w:snapToGrid/>
            <w:spacing w:line="560" w:lineRule="exact"/>
            <w:textAlignment w:val="auto"/>
            <w:rPr>
              <w:sz w:val="32"/>
              <w:szCs w:val="32"/>
            </w:rPr>
          </w:pPr>
          <w:r>
            <w:rPr>
              <w:sz w:val="32"/>
              <w:szCs w:val="32"/>
            </w:rPr>
            <w:fldChar w:fldCharType="begin"/>
          </w:r>
          <w:r>
            <w:rPr>
              <w:sz w:val="32"/>
              <w:szCs w:val="32"/>
            </w:rPr>
            <w:instrText xml:space="preserve"> HYPERLINK \l _Toc542 </w:instrText>
          </w:r>
          <w:r>
            <w:rPr>
              <w:sz w:val="32"/>
              <w:szCs w:val="32"/>
            </w:rPr>
            <w:fldChar w:fldCharType="separate"/>
          </w:r>
          <w:r>
            <w:rPr>
              <w:rFonts w:hint="eastAsia" w:ascii="黑体" w:hAnsi="黑体" w:eastAsia="黑体" w:cs="黑体"/>
              <w:bCs w:val="0"/>
              <w:kern w:val="2"/>
              <w:sz w:val="32"/>
              <w:szCs w:val="32"/>
              <w:highlight w:val="none"/>
              <w:lang w:val="en-US" w:eastAsia="zh-CN" w:bidi="ar-SA"/>
            </w:rPr>
            <w:t>十一、环境影响评价及安全防护</w:t>
          </w:r>
          <w:r>
            <w:rPr>
              <w:sz w:val="32"/>
              <w:szCs w:val="32"/>
            </w:rPr>
            <w:tab/>
          </w:r>
          <w:r>
            <w:rPr>
              <w:sz w:val="32"/>
              <w:szCs w:val="32"/>
            </w:rPr>
            <w:fldChar w:fldCharType="begin"/>
          </w:r>
          <w:r>
            <w:rPr>
              <w:sz w:val="32"/>
              <w:szCs w:val="32"/>
            </w:rPr>
            <w:instrText xml:space="preserve"> PAGEREF _Toc542 \h </w:instrText>
          </w:r>
          <w:r>
            <w:rPr>
              <w:sz w:val="32"/>
              <w:szCs w:val="32"/>
            </w:rPr>
            <w:fldChar w:fldCharType="separate"/>
          </w:r>
          <w:r>
            <w:rPr>
              <w:sz w:val="32"/>
              <w:szCs w:val="32"/>
            </w:rPr>
            <w:t>72</w:t>
          </w:r>
          <w:r>
            <w:rPr>
              <w:sz w:val="32"/>
              <w:szCs w:val="32"/>
            </w:rPr>
            <w:fldChar w:fldCharType="end"/>
          </w:r>
          <w:r>
            <w:rPr>
              <w:sz w:val="32"/>
              <w:szCs w:val="32"/>
            </w:rPr>
            <w:fldChar w:fldCharType="end"/>
          </w:r>
        </w:p>
        <w:p w14:paraId="28D86C5C">
          <w:pPr>
            <w:pStyle w:val="13"/>
            <w:keepNext w:val="0"/>
            <w:keepLines w:val="0"/>
            <w:pageBreakBefore w:val="0"/>
            <w:widowControl w:val="0"/>
            <w:tabs>
              <w:tab w:val="right" w:leader="dot" w:pos="8846"/>
            </w:tabs>
            <w:kinsoku/>
            <w:wordWrap/>
            <w:overflowPunct/>
            <w:topLinePunct w:val="0"/>
            <w:autoSpaceDE/>
            <w:autoSpaceDN/>
            <w:bidi w:val="0"/>
            <w:adjustRightInd/>
            <w:snapToGrid/>
            <w:spacing w:line="560" w:lineRule="exact"/>
            <w:textAlignment w:val="auto"/>
            <w:rPr>
              <w:sz w:val="32"/>
              <w:szCs w:val="32"/>
            </w:rPr>
          </w:pPr>
          <w:r>
            <w:rPr>
              <w:sz w:val="32"/>
              <w:szCs w:val="32"/>
            </w:rPr>
            <w:fldChar w:fldCharType="begin"/>
          </w:r>
          <w:r>
            <w:rPr>
              <w:sz w:val="32"/>
              <w:szCs w:val="32"/>
            </w:rPr>
            <w:instrText xml:space="preserve"> HYPERLINK \l _Toc19034 </w:instrText>
          </w:r>
          <w:r>
            <w:rPr>
              <w:sz w:val="32"/>
              <w:szCs w:val="32"/>
            </w:rPr>
            <w:fldChar w:fldCharType="separate"/>
          </w:r>
          <w:r>
            <w:rPr>
              <w:rFonts w:hint="eastAsia" w:ascii="楷体_GB2312" w:hAnsi="楷体_GB2312" w:eastAsia="楷体_GB2312" w:cs="楷体_GB2312"/>
              <w:bCs w:val="0"/>
              <w:kern w:val="2"/>
              <w:sz w:val="32"/>
              <w:szCs w:val="32"/>
              <w:highlight w:val="none"/>
              <w:lang w:val="en-US" w:eastAsia="zh-CN" w:bidi="ar-SA"/>
            </w:rPr>
            <w:t>（一）建筑垃圾收运过程中对环境的影响及防治措施</w:t>
          </w:r>
          <w:r>
            <w:rPr>
              <w:sz w:val="32"/>
              <w:szCs w:val="32"/>
            </w:rPr>
            <w:tab/>
          </w:r>
          <w:r>
            <w:rPr>
              <w:sz w:val="32"/>
              <w:szCs w:val="32"/>
            </w:rPr>
            <w:fldChar w:fldCharType="begin"/>
          </w:r>
          <w:r>
            <w:rPr>
              <w:sz w:val="32"/>
              <w:szCs w:val="32"/>
            </w:rPr>
            <w:instrText xml:space="preserve"> PAGEREF _Toc19034 \h </w:instrText>
          </w:r>
          <w:r>
            <w:rPr>
              <w:sz w:val="32"/>
              <w:szCs w:val="32"/>
            </w:rPr>
            <w:fldChar w:fldCharType="separate"/>
          </w:r>
          <w:r>
            <w:rPr>
              <w:sz w:val="32"/>
              <w:szCs w:val="32"/>
            </w:rPr>
            <w:t>72</w:t>
          </w:r>
          <w:r>
            <w:rPr>
              <w:sz w:val="32"/>
              <w:szCs w:val="32"/>
            </w:rPr>
            <w:fldChar w:fldCharType="end"/>
          </w:r>
          <w:r>
            <w:rPr>
              <w:sz w:val="32"/>
              <w:szCs w:val="32"/>
            </w:rPr>
            <w:fldChar w:fldCharType="end"/>
          </w:r>
        </w:p>
        <w:p w14:paraId="4AEABE4C">
          <w:pPr>
            <w:pStyle w:val="13"/>
            <w:keepNext w:val="0"/>
            <w:keepLines w:val="0"/>
            <w:pageBreakBefore w:val="0"/>
            <w:widowControl w:val="0"/>
            <w:tabs>
              <w:tab w:val="right" w:leader="dot" w:pos="8846"/>
            </w:tabs>
            <w:kinsoku/>
            <w:wordWrap/>
            <w:overflowPunct/>
            <w:topLinePunct w:val="0"/>
            <w:autoSpaceDE/>
            <w:autoSpaceDN/>
            <w:bidi w:val="0"/>
            <w:adjustRightInd/>
            <w:snapToGrid/>
            <w:spacing w:line="560" w:lineRule="exact"/>
            <w:textAlignment w:val="auto"/>
            <w:rPr>
              <w:sz w:val="32"/>
              <w:szCs w:val="32"/>
            </w:rPr>
          </w:pPr>
          <w:r>
            <w:rPr>
              <w:sz w:val="32"/>
              <w:szCs w:val="32"/>
            </w:rPr>
            <w:fldChar w:fldCharType="begin"/>
          </w:r>
          <w:r>
            <w:rPr>
              <w:sz w:val="32"/>
              <w:szCs w:val="32"/>
            </w:rPr>
            <w:instrText xml:space="preserve"> HYPERLINK \l _Toc27586 </w:instrText>
          </w:r>
          <w:r>
            <w:rPr>
              <w:sz w:val="32"/>
              <w:szCs w:val="32"/>
            </w:rPr>
            <w:fldChar w:fldCharType="separate"/>
          </w:r>
          <w:r>
            <w:rPr>
              <w:rFonts w:hint="eastAsia" w:ascii="楷体_GB2312" w:hAnsi="楷体_GB2312" w:eastAsia="楷体_GB2312" w:cs="楷体_GB2312"/>
              <w:bCs w:val="0"/>
              <w:kern w:val="2"/>
              <w:sz w:val="32"/>
              <w:szCs w:val="32"/>
              <w:highlight w:val="none"/>
              <w:lang w:val="en-US" w:eastAsia="zh-CN" w:bidi="ar-SA"/>
            </w:rPr>
            <w:t>（二）建筑垃圾处理过程对环境的影响及防治措施</w:t>
          </w:r>
          <w:r>
            <w:rPr>
              <w:sz w:val="32"/>
              <w:szCs w:val="32"/>
            </w:rPr>
            <w:tab/>
          </w:r>
          <w:r>
            <w:rPr>
              <w:sz w:val="32"/>
              <w:szCs w:val="32"/>
            </w:rPr>
            <w:fldChar w:fldCharType="begin"/>
          </w:r>
          <w:r>
            <w:rPr>
              <w:sz w:val="32"/>
              <w:szCs w:val="32"/>
            </w:rPr>
            <w:instrText xml:space="preserve"> PAGEREF _Toc27586 \h </w:instrText>
          </w:r>
          <w:r>
            <w:rPr>
              <w:sz w:val="32"/>
              <w:szCs w:val="32"/>
            </w:rPr>
            <w:fldChar w:fldCharType="separate"/>
          </w:r>
          <w:r>
            <w:rPr>
              <w:sz w:val="32"/>
              <w:szCs w:val="32"/>
            </w:rPr>
            <w:t>72</w:t>
          </w:r>
          <w:r>
            <w:rPr>
              <w:sz w:val="32"/>
              <w:szCs w:val="32"/>
            </w:rPr>
            <w:fldChar w:fldCharType="end"/>
          </w:r>
          <w:r>
            <w:rPr>
              <w:sz w:val="32"/>
              <w:szCs w:val="32"/>
            </w:rPr>
            <w:fldChar w:fldCharType="end"/>
          </w:r>
        </w:p>
        <w:p w14:paraId="584E0AB1">
          <w:pPr>
            <w:pStyle w:val="13"/>
            <w:keepNext w:val="0"/>
            <w:keepLines w:val="0"/>
            <w:pageBreakBefore w:val="0"/>
            <w:widowControl w:val="0"/>
            <w:tabs>
              <w:tab w:val="right" w:leader="dot" w:pos="8846"/>
            </w:tabs>
            <w:kinsoku/>
            <w:wordWrap/>
            <w:overflowPunct/>
            <w:topLinePunct w:val="0"/>
            <w:autoSpaceDE/>
            <w:autoSpaceDN/>
            <w:bidi w:val="0"/>
            <w:adjustRightInd/>
            <w:snapToGrid/>
            <w:spacing w:line="560" w:lineRule="exact"/>
            <w:textAlignment w:val="auto"/>
            <w:rPr>
              <w:sz w:val="32"/>
              <w:szCs w:val="32"/>
            </w:rPr>
          </w:pPr>
          <w:r>
            <w:rPr>
              <w:sz w:val="32"/>
              <w:szCs w:val="32"/>
            </w:rPr>
            <w:fldChar w:fldCharType="begin"/>
          </w:r>
          <w:r>
            <w:rPr>
              <w:sz w:val="32"/>
              <w:szCs w:val="32"/>
            </w:rPr>
            <w:instrText xml:space="preserve"> HYPERLINK \l _Toc3042 </w:instrText>
          </w:r>
          <w:r>
            <w:rPr>
              <w:sz w:val="32"/>
              <w:szCs w:val="32"/>
            </w:rPr>
            <w:fldChar w:fldCharType="separate"/>
          </w:r>
          <w:r>
            <w:rPr>
              <w:rFonts w:hint="eastAsia" w:ascii="楷体_GB2312" w:hAnsi="楷体_GB2312" w:eastAsia="楷体_GB2312" w:cs="楷体_GB2312"/>
              <w:bCs w:val="0"/>
              <w:kern w:val="2"/>
              <w:sz w:val="32"/>
              <w:szCs w:val="32"/>
              <w:highlight w:val="none"/>
              <w:lang w:val="en-US" w:eastAsia="zh-CN" w:bidi="ar-SA"/>
            </w:rPr>
            <w:t>（三）</w:t>
          </w:r>
          <w:r>
            <w:rPr>
              <w:rFonts w:hint="eastAsia" w:ascii="楷体_GB2312" w:hAnsi="楷体_GB2312" w:eastAsia="楷体_GB2312" w:cs="楷体_GB2312"/>
              <w:bCs w:val="0"/>
              <w:spacing w:val="-11"/>
              <w:w w:val="90"/>
              <w:kern w:val="2"/>
              <w:sz w:val="32"/>
              <w:szCs w:val="32"/>
              <w:highlight w:val="none"/>
              <w:lang w:val="en-US" w:eastAsia="zh-CN" w:bidi="ar-SA"/>
            </w:rPr>
            <w:t>建筑垃圾处理设施建设过程对环境的影响及防治措施</w:t>
          </w:r>
          <w:r>
            <w:rPr>
              <w:spacing w:val="-11"/>
              <w:sz w:val="32"/>
              <w:szCs w:val="32"/>
            </w:rPr>
            <w:tab/>
          </w:r>
          <w:r>
            <w:rPr>
              <w:sz w:val="32"/>
              <w:szCs w:val="32"/>
            </w:rPr>
            <w:fldChar w:fldCharType="begin"/>
          </w:r>
          <w:r>
            <w:rPr>
              <w:sz w:val="32"/>
              <w:szCs w:val="32"/>
            </w:rPr>
            <w:instrText xml:space="preserve"> PAGEREF _Toc3042 \h </w:instrText>
          </w:r>
          <w:r>
            <w:rPr>
              <w:sz w:val="32"/>
              <w:szCs w:val="32"/>
            </w:rPr>
            <w:fldChar w:fldCharType="separate"/>
          </w:r>
          <w:r>
            <w:rPr>
              <w:sz w:val="32"/>
              <w:szCs w:val="32"/>
            </w:rPr>
            <w:t>73</w:t>
          </w:r>
          <w:r>
            <w:rPr>
              <w:sz w:val="32"/>
              <w:szCs w:val="32"/>
            </w:rPr>
            <w:fldChar w:fldCharType="end"/>
          </w:r>
          <w:r>
            <w:rPr>
              <w:sz w:val="32"/>
              <w:szCs w:val="32"/>
            </w:rPr>
            <w:fldChar w:fldCharType="end"/>
          </w:r>
        </w:p>
        <w:p w14:paraId="67C42F7B">
          <w:pPr>
            <w:pStyle w:val="13"/>
            <w:keepNext w:val="0"/>
            <w:keepLines w:val="0"/>
            <w:pageBreakBefore w:val="0"/>
            <w:widowControl w:val="0"/>
            <w:tabs>
              <w:tab w:val="right" w:leader="dot" w:pos="8846"/>
            </w:tabs>
            <w:kinsoku/>
            <w:wordWrap/>
            <w:overflowPunct/>
            <w:topLinePunct w:val="0"/>
            <w:autoSpaceDE/>
            <w:autoSpaceDN/>
            <w:bidi w:val="0"/>
            <w:adjustRightInd/>
            <w:snapToGrid/>
            <w:spacing w:line="560" w:lineRule="exact"/>
            <w:textAlignment w:val="auto"/>
            <w:rPr>
              <w:sz w:val="32"/>
              <w:szCs w:val="32"/>
            </w:rPr>
          </w:pPr>
          <w:r>
            <w:rPr>
              <w:sz w:val="32"/>
              <w:szCs w:val="32"/>
            </w:rPr>
            <w:fldChar w:fldCharType="begin"/>
          </w:r>
          <w:r>
            <w:rPr>
              <w:sz w:val="32"/>
              <w:szCs w:val="32"/>
            </w:rPr>
            <w:instrText xml:space="preserve"> HYPERLINK \l _Toc1639 </w:instrText>
          </w:r>
          <w:r>
            <w:rPr>
              <w:sz w:val="32"/>
              <w:szCs w:val="32"/>
            </w:rPr>
            <w:fldChar w:fldCharType="separate"/>
          </w:r>
          <w:r>
            <w:rPr>
              <w:rFonts w:hint="eastAsia" w:ascii="楷体_GB2312" w:hAnsi="楷体_GB2312" w:eastAsia="楷体_GB2312" w:cs="楷体_GB2312"/>
              <w:bCs w:val="0"/>
              <w:kern w:val="2"/>
              <w:sz w:val="32"/>
              <w:szCs w:val="32"/>
              <w:highlight w:val="none"/>
              <w:lang w:val="en-US" w:eastAsia="zh-CN" w:bidi="ar-SA"/>
            </w:rPr>
            <w:t>（四）环境影响评价结论</w:t>
          </w:r>
          <w:r>
            <w:rPr>
              <w:sz w:val="32"/>
              <w:szCs w:val="32"/>
            </w:rPr>
            <w:tab/>
          </w:r>
          <w:r>
            <w:rPr>
              <w:sz w:val="32"/>
              <w:szCs w:val="32"/>
            </w:rPr>
            <w:fldChar w:fldCharType="begin"/>
          </w:r>
          <w:r>
            <w:rPr>
              <w:sz w:val="32"/>
              <w:szCs w:val="32"/>
            </w:rPr>
            <w:instrText xml:space="preserve"> PAGEREF _Toc1639 \h </w:instrText>
          </w:r>
          <w:r>
            <w:rPr>
              <w:sz w:val="32"/>
              <w:szCs w:val="32"/>
            </w:rPr>
            <w:fldChar w:fldCharType="separate"/>
          </w:r>
          <w:r>
            <w:rPr>
              <w:sz w:val="32"/>
              <w:szCs w:val="32"/>
            </w:rPr>
            <w:t>74</w:t>
          </w:r>
          <w:r>
            <w:rPr>
              <w:sz w:val="32"/>
              <w:szCs w:val="32"/>
            </w:rPr>
            <w:fldChar w:fldCharType="end"/>
          </w:r>
          <w:r>
            <w:rPr>
              <w:sz w:val="32"/>
              <w:szCs w:val="32"/>
            </w:rPr>
            <w:fldChar w:fldCharType="end"/>
          </w:r>
        </w:p>
        <w:p w14:paraId="08569E5D">
          <w:pPr>
            <w:pStyle w:val="13"/>
            <w:keepNext w:val="0"/>
            <w:keepLines w:val="0"/>
            <w:pageBreakBefore w:val="0"/>
            <w:widowControl w:val="0"/>
            <w:tabs>
              <w:tab w:val="right" w:leader="dot" w:pos="8846"/>
            </w:tabs>
            <w:kinsoku/>
            <w:wordWrap/>
            <w:overflowPunct/>
            <w:topLinePunct w:val="0"/>
            <w:autoSpaceDE/>
            <w:autoSpaceDN/>
            <w:bidi w:val="0"/>
            <w:adjustRightInd/>
            <w:snapToGrid/>
            <w:spacing w:line="560" w:lineRule="exact"/>
            <w:textAlignment w:val="auto"/>
            <w:rPr>
              <w:sz w:val="32"/>
              <w:szCs w:val="32"/>
            </w:rPr>
          </w:pPr>
          <w:r>
            <w:rPr>
              <w:sz w:val="32"/>
              <w:szCs w:val="32"/>
            </w:rPr>
            <w:fldChar w:fldCharType="begin"/>
          </w:r>
          <w:r>
            <w:rPr>
              <w:sz w:val="32"/>
              <w:szCs w:val="32"/>
            </w:rPr>
            <w:instrText xml:space="preserve"> HYPERLINK \l _Toc3676 </w:instrText>
          </w:r>
          <w:r>
            <w:rPr>
              <w:sz w:val="32"/>
              <w:szCs w:val="32"/>
            </w:rPr>
            <w:fldChar w:fldCharType="separate"/>
          </w:r>
          <w:r>
            <w:rPr>
              <w:rFonts w:hint="eastAsia" w:ascii="楷体_GB2312" w:hAnsi="楷体_GB2312" w:eastAsia="楷体_GB2312" w:cs="楷体_GB2312"/>
              <w:bCs w:val="0"/>
              <w:kern w:val="2"/>
              <w:sz w:val="32"/>
              <w:szCs w:val="32"/>
              <w:highlight w:val="none"/>
              <w:lang w:val="en-US" w:eastAsia="zh-CN" w:bidi="ar-SA"/>
            </w:rPr>
            <w:t>（五）劳动保护安全</w:t>
          </w:r>
          <w:r>
            <w:rPr>
              <w:sz w:val="32"/>
              <w:szCs w:val="32"/>
            </w:rPr>
            <w:tab/>
          </w:r>
          <w:r>
            <w:rPr>
              <w:sz w:val="32"/>
              <w:szCs w:val="32"/>
            </w:rPr>
            <w:fldChar w:fldCharType="begin"/>
          </w:r>
          <w:r>
            <w:rPr>
              <w:sz w:val="32"/>
              <w:szCs w:val="32"/>
            </w:rPr>
            <w:instrText xml:space="preserve"> PAGEREF _Toc3676 \h </w:instrText>
          </w:r>
          <w:r>
            <w:rPr>
              <w:sz w:val="32"/>
              <w:szCs w:val="32"/>
            </w:rPr>
            <w:fldChar w:fldCharType="separate"/>
          </w:r>
          <w:r>
            <w:rPr>
              <w:sz w:val="32"/>
              <w:szCs w:val="32"/>
            </w:rPr>
            <w:t>75</w:t>
          </w:r>
          <w:r>
            <w:rPr>
              <w:sz w:val="32"/>
              <w:szCs w:val="32"/>
            </w:rPr>
            <w:fldChar w:fldCharType="end"/>
          </w:r>
          <w:r>
            <w:rPr>
              <w:sz w:val="32"/>
              <w:szCs w:val="32"/>
            </w:rPr>
            <w:fldChar w:fldCharType="end"/>
          </w:r>
        </w:p>
        <w:p w14:paraId="32DA3A04">
          <w:pPr>
            <w:pStyle w:val="12"/>
            <w:keepNext w:val="0"/>
            <w:keepLines w:val="0"/>
            <w:pageBreakBefore w:val="0"/>
            <w:widowControl w:val="0"/>
            <w:tabs>
              <w:tab w:val="right" w:leader="dot" w:pos="8846"/>
            </w:tabs>
            <w:kinsoku/>
            <w:wordWrap/>
            <w:overflowPunct/>
            <w:topLinePunct w:val="0"/>
            <w:autoSpaceDE/>
            <w:autoSpaceDN/>
            <w:bidi w:val="0"/>
            <w:adjustRightInd/>
            <w:snapToGrid/>
            <w:spacing w:line="560" w:lineRule="exact"/>
            <w:textAlignment w:val="auto"/>
            <w:rPr>
              <w:sz w:val="32"/>
              <w:szCs w:val="32"/>
            </w:rPr>
          </w:pPr>
          <w:r>
            <w:rPr>
              <w:sz w:val="32"/>
              <w:szCs w:val="32"/>
            </w:rPr>
            <w:fldChar w:fldCharType="begin"/>
          </w:r>
          <w:r>
            <w:rPr>
              <w:sz w:val="32"/>
              <w:szCs w:val="32"/>
            </w:rPr>
            <w:instrText xml:space="preserve"> HYPERLINK \l _Toc14178 </w:instrText>
          </w:r>
          <w:r>
            <w:rPr>
              <w:sz w:val="32"/>
              <w:szCs w:val="32"/>
            </w:rPr>
            <w:fldChar w:fldCharType="separate"/>
          </w:r>
          <w:r>
            <w:rPr>
              <w:rFonts w:hint="eastAsia" w:ascii="黑体" w:hAnsi="黑体" w:eastAsia="黑体" w:cs="黑体"/>
              <w:bCs w:val="0"/>
              <w:kern w:val="2"/>
              <w:sz w:val="32"/>
              <w:szCs w:val="32"/>
              <w:highlight w:val="none"/>
              <w:lang w:val="en-US" w:eastAsia="zh-CN" w:bidi="ar-SA"/>
            </w:rPr>
            <w:t>十二、近期规划实施计划</w:t>
          </w:r>
          <w:r>
            <w:rPr>
              <w:sz w:val="32"/>
              <w:szCs w:val="32"/>
            </w:rPr>
            <w:tab/>
          </w:r>
          <w:r>
            <w:rPr>
              <w:sz w:val="32"/>
              <w:szCs w:val="32"/>
            </w:rPr>
            <w:fldChar w:fldCharType="begin"/>
          </w:r>
          <w:r>
            <w:rPr>
              <w:sz w:val="32"/>
              <w:szCs w:val="32"/>
            </w:rPr>
            <w:instrText xml:space="preserve"> PAGEREF _Toc14178 \h </w:instrText>
          </w:r>
          <w:r>
            <w:rPr>
              <w:sz w:val="32"/>
              <w:szCs w:val="32"/>
            </w:rPr>
            <w:fldChar w:fldCharType="separate"/>
          </w:r>
          <w:r>
            <w:rPr>
              <w:sz w:val="32"/>
              <w:szCs w:val="32"/>
            </w:rPr>
            <w:t>76</w:t>
          </w:r>
          <w:r>
            <w:rPr>
              <w:sz w:val="32"/>
              <w:szCs w:val="32"/>
            </w:rPr>
            <w:fldChar w:fldCharType="end"/>
          </w:r>
          <w:r>
            <w:rPr>
              <w:sz w:val="32"/>
              <w:szCs w:val="32"/>
            </w:rPr>
            <w:fldChar w:fldCharType="end"/>
          </w:r>
        </w:p>
        <w:p w14:paraId="4B515813">
          <w:pPr>
            <w:pStyle w:val="13"/>
            <w:keepNext w:val="0"/>
            <w:keepLines w:val="0"/>
            <w:pageBreakBefore w:val="0"/>
            <w:widowControl w:val="0"/>
            <w:tabs>
              <w:tab w:val="right" w:leader="dot" w:pos="8846"/>
            </w:tabs>
            <w:kinsoku/>
            <w:wordWrap/>
            <w:overflowPunct/>
            <w:topLinePunct w:val="0"/>
            <w:autoSpaceDE/>
            <w:autoSpaceDN/>
            <w:bidi w:val="0"/>
            <w:adjustRightInd/>
            <w:snapToGrid/>
            <w:spacing w:line="560" w:lineRule="exact"/>
            <w:textAlignment w:val="auto"/>
            <w:rPr>
              <w:sz w:val="32"/>
              <w:szCs w:val="32"/>
            </w:rPr>
          </w:pPr>
          <w:r>
            <w:rPr>
              <w:sz w:val="32"/>
              <w:szCs w:val="32"/>
            </w:rPr>
            <w:fldChar w:fldCharType="begin"/>
          </w:r>
          <w:r>
            <w:rPr>
              <w:sz w:val="32"/>
              <w:szCs w:val="32"/>
            </w:rPr>
            <w:instrText xml:space="preserve"> HYPERLINK \l _Toc17230 </w:instrText>
          </w:r>
          <w:r>
            <w:rPr>
              <w:sz w:val="32"/>
              <w:szCs w:val="32"/>
            </w:rPr>
            <w:fldChar w:fldCharType="separate"/>
          </w:r>
          <w:r>
            <w:rPr>
              <w:rFonts w:hint="eastAsia" w:ascii="楷体_GB2312" w:hAnsi="楷体_GB2312" w:eastAsia="楷体_GB2312" w:cs="楷体_GB2312"/>
              <w:bCs w:val="0"/>
              <w:kern w:val="2"/>
              <w:sz w:val="32"/>
              <w:szCs w:val="32"/>
              <w:highlight w:val="none"/>
              <w:lang w:val="en-US" w:eastAsia="zh-CN" w:bidi="ar-SA"/>
            </w:rPr>
            <w:t>（一）近期工作规划</w:t>
          </w:r>
          <w:r>
            <w:rPr>
              <w:sz w:val="32"/>
              <w:szCs w:val="32"/>
            </w:rPr>
            <w:tab/>
          </w:r>
          <w:r>
            <w:rPr>
              <w:sz w:val="32"/>
              <w:szCs w:val="32"/>
            </w:rPr>
            <w:fldChar w:fldCharType="begin"/>
          </w:r>
          <w:r>
            <w:rPr>
              <w:sz w:val="32"/>
              <w:szCs w:val="32"/>
            </w:rPr>
            <w:instrText xml:space="preserve"> PAGEREF _Toc17230 \h </w:instrText>
          </w:r>
          <w:r>
            <w:rPr>
              <w:sz w:val="32"/>
              <w:szCs w:val="32"/>
            </w:rPr>
            <w:fldChar w:fldCharType="separate"/>
          </w:r>
          <w:r>
            <w:rPr>
              <w:sz w:val="32"/>
              <w:szCs w:val="32"/>
            </w:rPr>
            <w:t>76</w:t>
          </w:r>
          <w:r>
            <w:rPr>
              <w:sz w:val="32"/>
              <w:szCs w:val="32"/>
            </w:rPr>
            <w:fldChar w:fldCharType="end"/>
          </w:r>
          <w:r>
            <w:rPr>
              <w:sz w:val="32"/>
              <w:szCs w:val="32"/>
            </w:rPr>
            <w:fldChar w:fldCharType="end"/>
          </w:r>
        </w:p>
        <w:p w14:paraId="00083A43">
          <w:pPr>
            <w:pStyle w:val="13"/>
            <w:keepNext w:val="0"/>
            <w:keepLines w:val="0"/>
            <w:pageBreakBefore w:val="0"/>
            <w:widowControl w:val="0"/>
            <w:tabs>
              <w:tab w:val="right" w:leader="dot" w:pos="8846"/>
            </w:tabs>
            <w:kinsoku/>
            <w:wordWrap/>
            <w:overflowPunct/>
            <w:topLinePunct w:val="0"/>
            <w:autoSpaceDE/>
            <w:autoSpaceDN/>
            <w:bidi w:val="0"/>
            <w:adjustRightInd/>
            <w:snapToGrid/>
            <w:spacing w:line="560" w:lineRule="exact"/>
            <w:textAlignment w:val="auto"/>
            <w:rPr>
              <w:sz w:val="32"/>
              <w:szCs w:val="32"/>
            </w:rPr>
          </w:pPr>
          <w:r>
            <w:rPr>
              <w:sz w:val="32"/>
              <w:szCs w:val="32"/>
            </w:rPr>
            <w:fldChar w:fldCharType="begin"/>
          </w:r>
          <w:r>
            <w:rPr>
              <w:sz w:val="32"/>
              <w:szCs w:val="32"/>
            </w:rPr>
            <w:instrText xml:space="preserve"> HYPERLINK \l _Toc28037 </w:instrText>
          </w:r>
          <w:r>
            <w:rPr>
              <w:sz w:val="32"/>
              <w:szCs w:val="32"/>
            </w:rPr>
            <w:fldChar w:fldCharType="separate"/>
          </w:r>
          <w:r>
            <w:rPr>
              <w:rFonts w:hint="eastAsia" w:ascii="楷体_GB2312" w:hAnsi="楷体_GB2312" w:eastAsia="楷体_GB2312" w:cs="楷体_GB2312"/>
              <w:bCs w:val="0"/>
              <w:kern w:val="2"/>
              <w:sz w:val="32"/>
              <w:szCs w:val="32"/>
              <w:highlight w:val="none"/>
              <w:lang w:val="en-US" w:eastAsia="zh-CN" w:bidi="ar-SA"/>
            </w:rPr>
            <w:t>（二）近期项目规划</w:t>
          </w:r>
          <w:r>
            <w:rPr>
              <w:sz w:val="32"/>
              <w:szCs w:val="32"/>
            </w:rPr>
            <w:tab/>
          </w:r>
          <w:r>
            <w:rPr>
              <w:sz w:val="32"/>
              <w:szCs w:val="32"/>
            </w:rPr>
            <w:fldChar w:fldCharType="begin"/>
          </w:r>
          <w:r>
            <w:rPr>
              <w:sz w:val="32"/>
              <w:szCs w:val="32"/>
            </w:rPr>
            <w:instrText xml:space="preserve"> PAGEREF _Toc28037 \h </w:instrText>
          </w:r>
          <w:r>
            <w:rPr>
              <w:sz w:val="32"/>
              <w:szCs w:val="32"/>
            </w:rPr>
            <w:fldChar w:fldCharType="separate"/>
          </w:r>
          <w:r>
            <w:rPr>
              <w:sz w:val="32"/>
              <w:szCs w:val="32"/>
            </w:rPr>
            <w:t>76</w:t>
          </w:r>
          <w:r>
            <w:rPr>
              <w:sz w:val="32"/>
              <w:szCs w:val="32"/>
            </w:rPr>
            <w:fldChar w:fldCharType="end"/>
          </w:r>
          <w:r>
            <w:rPr>
              <w:sz w:val="32"/>
              <w:szCs w:val="32"/>
            </w:rPr>
            <w:fldChar w:fldCharType="end"/>
          </w:r>
        </w:p>
        <w:p w14:paraId="65A309B2">
          <w:pPr>
            <w:pStyle w:val="12"/>
            <w:keepNext w:val="0"/>
            <w:keepLines w:val="0"/>
            <w:pageBreakBefore w:val="0"/>
            <w:widowControl w:val="0"/>
            <w:tabs>
              <w:tab w:val="right" w:leader="dot" w:pos="8846"/>
            </w:tabs>
            <w:kinsoku/>
            <w:wordWrap/>
            <w:overflowPunct/>
            <w:topLinePunct w:val="0"/>
            <w:autoSpaceDE/>
            <w:autoSpaceDN/>
            <w:bidi w:val="0"/>
            <w:adjustRightInd/>
            <w:snapToGrid/>
            <w:spacing w:line="560" w:lineRule="exact"/>
            <w:textAlignment w:val="auto"/>
            <w:rPr>
              <w:sz w:val="32"/>
              <w:szCs w:val="32"/>
            </w:rPr>
          </w:pPr>
          <w:r>
            <w:rPr>
              <w:sz w:val="32"/>
              <w:szCs w:val="32"/>
            </w:rPr>
            <w:fldChar w:fldCharType="begin"/>
          </w:r>
          <w:r>
            <w:rPr>
              <w:sz w:val="32"/>
              <w:szCs w:val="32"/>
            </w:rPr>
            <w:instrText xml:space="preserve"> HYPERLINK \l _Toc7196 </w:instrText>
          </w:r>
          <w:r>
            <w:rPr>
              <w:sz w:val="32"/>
              <w:szCs w:val="32"/>
            </w:rPr>
            <w:fldChar w:fldCharType="separate"/>
          </w:r>
          <w:r>
            <w:rPr>
              <w:rFonts w:hint="eastAsia" w:ascii="黑体" w:hAnsi="黑体" w:eastAsia="黑体" w:cs="黑体"/>
              <w:bCs w:val="0"/>
              <w:kern w:val="2"/>
              <w:sz w:val="32"/>
              <w:szCs w:val="32"/>
              <w:highlight w:val="none"/>
              <w:lang w:val="en-US" w:eastAsia="zh-CN" w:bidi="ar-SA"/>
            </w:rPr>
            <w:t>十三、规划实施保障措施</w:t>
          </w:r>
          <w:r>
            <w:rPr>
              <w:sz w:val="32"/>
              <w:szCs w:val="32"/>
            </w:rPr>
            <w:tab/>
          </w:r>
          <w:r>
            <w:rPr>
              <w:sz w:val="32"/>
              <w:szCs w:val="32"/>
            </w:rPr>
            <w:fldChar w:fldCharType="begin"/>
          </w:r>
          <w:r>
            <w:rPr>
              <w:sz w:val="32"/>
              <w:szCs w:val="32"/>
            </w:rPr>
            <w:instrText xml:space="preserve"> PAGEREF _Toc7196 \h </w:instrText>
          </w:r>
          <w:r>
            <w:rPr>
              <w:sz w:val="32"/>
              <w:szCs w:val="32"/>
            </w:rPr>
            <w:fldChar w:fldCharType="separate"/>
          </w:r>
          <w:r>
            <w:rPr>
              <w:sz w:val="32"/>
              <w:szCs w:val="32"/>
            </w:rPr>
            <w:t>78</w:t>
          </w:r>
          <w:r>
            <w:rPr>
              <w:sz w:val="32"/>
              <w:szCs w:val="32"/>
            </w:rPr>
            <w:fldChar w:fldCharType="end"/>
          </w:r>
          <w:r>
            <w:rPr>
              <w:sz w:val="32"/>
              <w:szCs w:val="32"/>
            </w:rPr>
            <w:fldChar w:fldCharType="end"/>
          </w:r>
        </w:p>
        <w:p w14:paraId="314ACEF7">
          <w:pPr>
            <w:pStyle w:val="13"/>
            <w:keepNext w:val="0"/>
            <w:keepLines w:val="0"/>
            <w:pageBreakBefore w:val="0"/>
            <w:widowControl w:val="0"/>
            <w:tabs>
              <w:tab w:val="right" w:leader="dot" w:pos="8846"/>
            </w:tabs>
            <w:kinsoku/>
            <w:wordWrap/>
            <w:overflowPunct/>
            <w:topLinePunct w:val="0"/>
            <w:autoSpaceDE/>
            <w:autoSpaceDN/>
            <w:bidi w:val="0"/>
            <w:adjustRightInd/>
            <w:snapToGrid/>
            <w:spacing w:line="560" w:lineRule="exact"/>
            <w:textAlignment w:val="auto"/>
            <w:rPr>
              <w:sz w:val="32"/>
              <w:szCs w:val="32"/>
            </w:rPr>
          </w:pPr>
          <w:r>
            <w:rPr>
              <w:sz w:val="32"/>
              <w:szCs w:val="32"/>
            </w:rPr>
            <w:fldChar w:fldCharType="begin"/>
          </w:r>
          <w:r>
            <w:rPr>
              <w:sz w:val="32"/>
              <w:szCs w:val="32"/>
            </w:rPr>
            <w:instrText xml:space="preserve"> HYPERLINK \l _Toc788 </w:instrText>
          </w:r>
          <w:r>
            <w:rPr>
              <w:sz w:val="32"/>
              <w:szCs w:val="32"/>
            </w:rPr>
            <w:fldChar w:fldCharType="separate"/>
          </w:r>
          <w:r>
            <w:rPr>
              <w:rFonts w:hint="eastAsia" w:ascii="楷体_GB2312" w:hAnsi="楷体_GB2312" w:eastAsia="楷体_GB2312" w:cs="楷体_GB2312"/>
              <w:bCs w:val="0"/>
              <w:kern w:val="2"/>
              <w:sz w:val="32"/>
              <w:szCs w:val="32"/>
              <w:highlight w:val="none"/>
              <w:lang w:val="en-US" w:eastAsia="zh-CN" w:bidi="ar-SA"/>
            </w:rPr>
            <w:t>（一）政策保障</w:t>
          </w:r>
          <w:r>
            <w:rPr>
              <w:sz w:val="32"/>
              <w:szCs w:val="32"/>
            </w:rPr>
            <w:tab/>
          </w:r>
          <w:r>
            <w:rPr>
              <w:sz w:val="32"/>
              <w:szCs w:val="32"/>
            </w:rPr>
            <w:fldChar w:fldCharType="begin"/>
          </w:r>
          <w:r>
            <w:rPr>
              <w:sz w:val="32"/>
              <w:szCs w:val="32"/>
            </w:rPr>
            <w:instrText xml:space="preserve"> PAGEREF _Toc788 \h </w:instrText>
          </w:r>
          <w:r>
            <w:rPr>
              <w:sz w:val="32"/>
              <w:szCs w:val="32"/>
            </w:rPr>
            <w:fldChar w:fldCharType="separate"/>
          </w:r>
          <w:r>
            <w:rPr>
              <w:sz w:val="32"/>
              <w:szCs w:val="32"/>
            </w:rPr>
            <w:t>78</w:t>
          </w:r>
          <w:r>
            <w:rPr>
              <w:sz w:val="32"/>
              <w:szCs w:val="32"/>
            </w:rPr>
            <w:fldChar w:fldCharType="end"/>
          </w:r>
          <w:r>
            <w:rPr>
              <w:sz w:val="32"/>
              <w:szCs w:val="32"/>
            </w:rPr>
            <w:fldChar w:fldCharType="end"/>
          </w:r>
        </w:p>
        <w:p w14:paraId="6D8F74C8">
          <w:pPr>
            <w:pStyle w:val="13"/>
            <w:keepNext w:val="0"/>
            <w:keepLines w:val="0"/>
            <w:pageBreakBefore w:val="0"/>
            <w:widowControl w:val="0"/>
            <w:tabs>
              <w:tab w:val="right" w:leader="dot" w:pos="8846"/>
            </w:tabs>
            <w:kinsoku/>
            <w:wordWrap/>
            <w:overflowPunct/>
            <w:topLinePunct w:val="0"/>
            <w:autoSpaceDE/>
            <w:autoSpaceDN/>
            <w:bidi w:val="0"/>
            <w:adjustRightInd/>
            <w:snapToGrid/>
            <w:spacing w:line="560" w:lineRule="exact"/>
            <w:textAlignment w:val="auto"/>
            <w:rPr>
              <w:sz w:val="32"/>
              <w:szCs w:val="32"/>
            </w:rPr>
          </w:pPr>
          <w:r>
            <w:rPr>
              <w:sz w:val="32"/>
              <w:szCs w:val="32"/>
            </w:rPr>
            <w:fldChar w:fldCharType="begin"/>
          </w:r>
          <w:r>
            <w:rPr>
              <w:sz w:val="32"/>
              <w:szCs w:val="32"/>
            </w:rPr>
            <w:instrText xml:space="preserve"> HYPERLINK \l _Toc18086 </w:instrText>
          </w:r>
          <w:r>
            <w:rPr>
              <w:sz w:val="32"/>
              <w:szCs w:val="32"/>
            </w:rPr>
            <w:fldChar w:fldCharType="separate"/>
          </w:r>
          <w:r>
            <w:rPr>
              <w:rFonts w:hint="eastAsia" w:ascii="楷体_GB2312" w:hAnsi="楷体_GB2312" w:eastAsia="楷体_GB2312" w:cs="楷体_GB2312"/>
              <w:bCs w:val="0"/>
              <w:kern w:val="2"/>
              <w:sz w:val="32"/>
              <w:szCs w:val="32"/>
              <w:highlight w:val="none"/>
              <w:lang w:val="en-US" w:eastAsia="zh-CN" w:bidi="ar-SA"/>
            </w:rPr>
            <w:t>（二）组织保障</w:t>
          </w:r>
          <w:r>
            <w:rPr>
              <w:sz w:val="32"/>
              <w:szCs w:val="32"/>
            </w:rPr>
            <w:tab/>
          </w:r>
          <w:r>
            <w:rPr>
              <w:sz w:val="32"/>
              <w:szCs w:val="32"/>
            </w:rPr>
            <w:fldChar w:fldCharType="begin"/>
          </w:r>
          <w:r>
            <w:rPr>
              <w:sz w:val="32"/>
              <w:szCs w:val="32"/>
            </w:rPr>
            <w:instrText xml:space="preserve"> PAGEREF _Toc18086 \h </w:instrText>
          </w:r>
          <w:r>
            <w:rPr>
              <w:sz w:val="32"/>
              <w:szCs w:val="32"/>
            </w:rPr>
            <w:fldChar w:fldCharType="separate"/>
          </w:r>
          <w:r>
            <w:rPr>
              <w:sz w:val="32"/>
              <w:szCs w:val="32"/>
            </w:rPr>
            <w:t>78</w:t>
          </w:r>
          <w:r>
            <w:rPr>
              <w:sz w:val="32"/>
              <w:szCs w:val="32"/>
            </w:rPr>
            <w:fldChar w:fldCharType="end"/>
          </w:r>
          <w:r>
            <w:rPr>
              <w:sz w:val="32"/>
              <w:szCs w:val="32"/>
            </w:rPr>
            <w:fldChar w:fldCharType="end"/>
          </w:r>
        </w:p>
        <w:p w14:paraId="50E259A6">
          <w:pPr>
            <w:pStyle w:val="13"/>
            <w:keepNext w:val="0"/>
            <w:keepLines w:val="0"/>
            <w:pageBreakBefore w:val="0"/>
            <w:widowControl w:val="0"/>
            <w:tabs>
              <w:tab w:val="right" w:leader="dot" w:pos="8846"/>
            </w:tabs>
            <w:kinsoku/>
            <w:wordWrap/>
            <w:overflowPunct/>
            <w:topLinePunct w:val="0"/>
            <w:autoSpaceDE/>
            <w:autoSpaceDN/>
            <w:bidi w:val="0"/>
            <w:adjustRightInd/>
            <w:snapToGrid/>
            <w:spacing w:line="560" w:lineRule="exact"/>
            <w:textAlignment w:val="auto"/>
            <w:rPr>
              <w:sz w:val="32"/>
              <w:szCs w:val="32"/>
            </w:rPr>
          </w:pPr>
          <w:r>
            <w:rPr>
              <w:sz w:val="32"/>
              <w:szCs w:val="32"/>
            </w:rPr>
            <w:fldChar w:fldCharType="begin"/>
          </w:r>
          <w:r>
            <w:rPr>
              <w:sz w:val="32"/>
              <w:szCs w:val="32"/>
            </w:rPr>
            <w:instrText xml:space="preserve"> HYPERLINK \l _Toc24686 </w:instrText>
          </w:r>
          <w:r>
            <w:rPr>
              <w:sz w:val="32"/>
              <w:szCs w:val="32"/>
            </w:rPr>
            <w:fldChar w:fldCharType="separate"/>
          </w:r>
          <w:r>
            <w:rPr>
              <w:rFonts w:hint="eastAsia" w:ascii="楷体_GB2312" w:hAnsi="楷体_GB2312" w:eastAsia="楷体_GB2312" w:cs="楷体_GB2312"/>
              <w:bCs w:val="0"/>
              <w:kern w:val="2"/>
              <w:sz w:val="32"/>
              <w:szCs w:val="32"/>
              <w:highlight w:val="none"/>
              <w:lang w:val="en-US" w:eastAsia="zh-CN" w:bidi="ar-SA"/>
            </w:rPr>
            <w:t>（三）资金保障</w:t>
          </w:r>
          <w:r>
            <w:rPr>
              <w:sz w:val="32"/>
              <w:szCs w:val="32"/>
            </w:rPr>
            <w:tab/>
          </w:r>
          <w:r>
            <w:rPr>
              <w:sz w:val="32"/>
              <w:szCs w:val="32"/>
            </w:rPr>
            <w:fldChar w:fldCharType="begin"/>
          </w:r>
          <w:r>
            <w:rPr>
              <w:sz w:val="32"/>
              <w:szCs w:val="32"/>
            </w:rPr>
            <w:instrText xml:space="preserve"> PAGEREF _Toc24686 \h </w:instrText>
          </w:r>
          <w:r>
            <w:rPr>
              <w:sz w:val="32"/>
              <w:szCs w:val="32"/>
            </w:rPr>
            <w:fldChar w:fldCharType="separate"/>
          </w:r>
          <w:r>
            <w:rPr>
              <w:sz w:val="32"/>
              <w:szCs w:val="32"/>
            </w:rPr>
            <w:t>78</w:t>
          </w:r>
          <w:r>
            <w:rPr>
              <w:sz w:val="32"/>
              <w:szCs w:val="32"/>
            </w:rPr>
            <w:fldChar w:fldCharType="end"/>
          </w:r>
          <w:r>
            <w:rPr>
              <w:sz w:val="32"/>
              <w:szCs w:val="32"/>
            </w:rPr>
            <w:fldChar w:fldCharType="end"/>
          </w:r>
        </w:p>
        <w:p w14:paraId="6FC50D37">
          <w:pPr>
            <w:pStyle w:val="13"/>
            <w:keepNext w:val="0"/>
            <w:keepLines w:val="0"/>
            <w:pageBreakBefore w:val="0"/>
            <w:widowControl w:val="0"/>
            <w:tabs>
              <w:tab w:val="right" w:leader="dot" w:pos="8846"/>
            </w:tabs>
            <w:kinsoku/>
            <w:wordWrap/>
            <w:overflowPunct/>
            <w:topLinePunct w:val="0"/>
            <w:autoSpaceDE/>
            <w:autoSpaceDN/>
            <w:bidi w:val="0"/>
            <w:adjustRightInd/>
            <w:snapToGrid/>
            <w:spacing w:line="560" w:lineRule="exact"/>
            <w:textAlignment w:val="auto"/>
            <w:rPr>
              <w:sz w:val="32"/>
              <w:szCs w:val="32"/>
            </w:rPr>
          </w:pPr>
          <w:r>
            <w:rPr>
              <w:sz w:val="32"/>
              <w:szCs w:val="32"/>
            </w:rPr>
            <w:fldChar w:fldCharType="begin"/>
          </w:r>
          <w:r>
            <w:rPr>
              <w:sz w:val="32"/>
              <w:szCs w:val="32"/>
            </w:rPr>
            <w:instrText xml:space="preserve"> HYPERLINK \l _Toc15303 </w:instrText>
          </w:r>
          <w:r>
            <w:rPr>
              <w:sz w:val="32"/>
              <w:szCs w:val="32"/>
            </w:rPr>
            <w:fldChar w:fldCharType="separate"/>
          </w:r>
          <w:r>
            <w:rPr>
              <w:rFonts w:hint="eastAsia" w:ascii="楷体_GB2312" w:hAnsi="楷体_GB2312" w:eastAsia="楷体_GB2312" w:cs="楷体_GB2312"/>
              <w:bCs w:val="0"/>
              <w:kern w:val="2"/>
              <w:sz w:val="32"/>
              <w:szCs w:val="32"/>
              <w:highlight w:val="none"/>
              <w:lang w:val="en-US" w:eastAsia="zh-CN" w:bidi="ar-SA"/>
            </w:rPr>
            <w:t>（四）土地保障</w:t>
          </w:r>
          <w:r>
            <w:rPr>
              <w:sz w:val="32"/>
              <w:szCs w:val="32"/>
            </w:rPr>
            <w:tab/>
          </w:r>
          <w:r>
            <w:rPr>
              <w:sz w:val="32"/>
              <w:szCs w:val="32"/>
            </w:rPr>
            <w:fldChar w:fldCharType="begin"/>
          </w:r>
          <w:r>
            <w:rPr>
              <w:sz w:val="32"/>
              <w:szCs w:val="32"/>
            </w:rPr>
            <w:instrText xml:space="preserve"> PAGEREF _Toc15303 \h </w:instrText>
          </w:r>
          <w:r>
            <w:rPr>
              <w:sz w:val="32"/>
              <w:szCs w:val="32"/>
            </w:rPr>
            <w:fldChar w:fldCharType="separate"/>
          </w:r>
          <w:r>
            <w:rPr>
              <w:sz w:val="32"/>
              <w:szCs w:val="32"/>
            </w:rPr>
            <w:t>79</w:t>
          </w:r>
          <w:r>
            <w:rPr>
              <w:sz w:val="32"/>
              <w:szCs w:val="32"/>
            </w:rPr>
            <w:fldChar w:fldCharType="end"/>
          </w:r>
          <w:r>
            <w:rPr>
              <w:sz w:val="32"/>
              <w:szCs w:val="32"/>
            </w:rPr>
            <w:fldChar w:fldCharType="end"/>
          </w:r>
        </w:p>
        <w:p w14:paraId="2FD05D89">
          <w:pPr>
            <w:pStyle w:val="13"/>
            <w:keepNext w:val="0"/>
            <w:keepLines w:val="0"/>
            <w:pageBreakBefore w:val="0"/>
            <w:widowControl w:val="0"/>
            <w:tabs>
              <w:tab w:val="right" w:leader="dot" w:pos="8846"/>
            </w:tabs>
            <w:kinsoku/>
            <w:wordWrap/>
            <w:overflowPunct/>
            <w:topLinePunct w:val="0"/>
            <w:autoSpaceDE/>
            <w:autoSpaceDN/>
            <w:bidi w:val="0"/>
            <w:adjustRightInd/>
            <w:snapToGrid/>
            <w:spacing w:line="560" w:lineRule="exact"/>
            <w:textAlignment w:val="auto"/>
            <w:rPr>
              <w:sz w:val="32"/>
              <w:szCs w:val="32"/>
            </w:rPr>
          </w:pPr>
          <w:r>
            <w:rPr>
              <w:sz w:val="32"/>
              <w:szCs w:val="32"/>
            </w:rPr>
            <w:fldChar w:fldCharType="begin"/>
          </w:r>
          <w:r>
            <w:rPr>
              <w:sz w:val="32"/>
              <w:szCs w:val="32"/>
            </w:rPr>
            <w:instrText xml:space="preserve"> HYPERLINK \l _Toc27930 </w:instrText>
          </w:r>
          <w:r>
            <w:rPr>
              <w:sz w:val="32"/>
              <w:szCs w:val="32"/>
            </w:rPr>
            <w:fldChar w:fldCharType="separate"/>
          </w:r>
          <w:r>
            <w:rPr>
              <w:rFonts w:hint="eastAsia" w:ascii="楷体_GB2312" w:hAnsi="楷体_GB2312" w:eastAsia="楷体_GB2312" w:cs="楷体_GB2312"/>
              <w:bCs w:val="0"/>
              <w:kern w:val="2"/>
              <w:sz w:val="32"/>
              <w:szCs w:val="32"/>
              <w:highlight w:val="none"/>
              <w:lang w:val="en-US" w:eastAsia="zh-CN" w:bidi="ar-SA"/>
            </w:rPr>
            <w:t>（五）技术保障</w:t>
          </w:r>
          <w:r>
            <w:rPr>
              <w:sz w:val="32"/>
              <w:szCs w:val="32"/>
            </w:rPr>
            <w:tab/>
          </w:r>
          <w:r>
            <w:rPr>
              <w:sz w:val="32"/>
              <w:szCs w:val="32"/>
            </w:rPr>
            <w:fldChar w:fldCharType="begin"/>
          </w:r>
          <w:r>
            <w:rPr>
              <w:sz w:val="32"/>
              <w:szCs w:val="32"/>
            </w:rPr>
            <w:instrText xml:space="preserve"> PAGEREF _Toc27930 \h </w:instrText>
          </w:r>
          <w:r>
            <w:rPr>
              <w:sz w:val="32"/>
              <w:szCs w:val="32"/>
            </w:rPr>
            <w:fldChar w:fldCharType="separate"/>
          </w:r>
          <w:r>
            <w:rPr>
              <w:sz w:val="32"/>
              <w:szCs w:val="32"/>
            </w:rPr>
            <w:t>79</w:t>
          </w:r>
          <w:r>
            <w:rPr>
              <w:sz w:val="32"/>
              <w:szCs w:val="32"/>
            </w:rPr>
            <w:fldChar w:fldCharType="end"/>
          </w:r>
          <w:r>
            <w:rPr>
              <w:sz w:val="32"/>
              <w:szCs w:val="32"/>
            </w:rPr>
            <w:fldChar w:fldCharType="end"/>
          </w:r>
        </w:p>
        <w:p w14:paraId="0A99E7A1">
          <w:pPr>
            <w:pStyle w:val="12"/>
            <w:keepNext w:val="0"/>
            <w:keepLines w:val="0"/>
            <w:pageBreakBefore w:val="0"/>
            <w:widowControl w:val="0"/>
            <w:tabs>
              <w:tab w:val="right" w:leader="dot" w:pos="8846"/>
            </w:tabs>
            <w:kinsoku/>
            <w:wordWrap/>
            <w:overflowPunct/>
            <w:topLinePunct w:val="0"/>
            <w:autoSpaceDE/>
            <w:autoSpaceDN/>
            <w:bidi w:val="0"/>
            <w:adjustRightInd/>
            <w:snapToGrid/>
            <w:spacing w:line="560" w:lineRule="exact"/>
            <w:textAlignment w:val="auto"/>
            <w:rPr>
              <w:sz w:val="32"/>
              <w:szCs w:val="32"/>
            </w:rPr>
          </w:pPr>
          <w:r>
            <w:rPr>
              <w:sz w:val="32"/>
              <w:szCs w:val="32"/>
            </w:rPr>
            <w:fldChar w:fldCharType="begin"/>
          </w:r>
          <w:r>
            <w:rPr>
              <w:sz w:val="32"/>
              <w:szCs w:val="32"/>
            </w:rPr>
            <w:instrText xml:space="preserve"> HYPERLINK \l _Toc5815 </w:instrText>
          </w:r>
          <w:r>
            <w:rPr>
              <w:sz w:val="32"/>
              <w:szCs w:val="32"/>
            </w:rPr>
            <w:fldChar w:fldCharType="separate"/>
          </w:r>
          <w:r>
            <w:rPr>
              <w:rFonts w:hint="eastAsia" w:ascii="黑体" w:hAnsi="黑体" w:eastAsia="黑体" w:cs="黑体"/>
              <w:bCs w:val="0"/>
              <w:kern w:val="2"/>
              <w:sz w:val="32"/>
              <w:szCs w:val="32"/>
              <w:highlight w:val="none"/>
              <w:lang w:val="en-US" w:eastAsia="zh-CN" w:bidi="ar-SA"/>
            </w:rPr>
            <w:t>附表</w:t>
          </w:r>
          <w:r>
            <w:rPr>
              <w:sz w:val="32"/>
              <w:szCs w:val="32"/>
            </w:rPr>
            <w:tab/>
          </w:r>
          <w:r>
            <w:rPr>
              <w:sz w:val="32"/>
              <w:szCs w:val="32"/>
            </w:rPr>
            <w:fldChar w:fldCharType="begin"/>
          </w:r>
          <w:r>
            <w:rPr>
              <w:sz w:val="32"/>
              <w:szCs w:val="32"/>
            </w:rPr>
            <w:instrText xml:space="preserve"> PAGEREF _Toc5815 \h </w:instrText>
          </w:r>
          <w:r>
            <w:rPr>
              <w:sz w:val="32"/>
              <w:szCs w:val="32"/>
            </w:rPr>
            <w:fldChar w:fldCharType="separate"/>
          </w:r>
          <w:r>
            <w:rPr>
              <w:sz w:val="32"/>
              <w:szCs w:val="32"/>
            </w:rPr>
            <w:t>80</w:t>
          </w:r>
          <w:r>
            <w:rPr>
              <w:sz w:val="32"/>
              <w:szCs w:val="32"/>
            </w:rPr>
            <w:fldChar w:fldCharType="end"/>
          </w:r>
          <w:r>
            <w:rPr>
              <w:sz w:val="32"/>
              <w:szCs w:val="32"/>
            </w:rPr>
            <w:fldChar w:fldCharType="end"/>
          </w:r>
        </w:p>
        <w:p w14:paraId="0AB2220A">
          <w:pPr>
            <w:pStyle w:val="12"/>
            <w:keepNext w:val="0"/>
            <w:keepLines w:val="0"/>
            <w:pageBreakBefore w:val="0"/>
            <w:widowControl w:val="0"/>
            <w:tabs>
              <w:tab w:val="right" w:leader="dot" w:pos="8846"/>
            </w:tabs>
            <w:kinsoku/>
            <w:wordWrap/>
            <w:overflowPunct/>
            <w:topLinePunct w:val="0"/>
            <w:autoSpaceDE/>
            <w:autoSpaceDN/>
            <w:bidi w:val="0"/>
            <w:adjustRightInd/>
            <w:snapToGrid/>
            <w:spacing w:line="560" w:lineRule="exact"/>
            <w:textAlignment w:val="auto"/>
            <w:rPr>
              <w:sz w:val="32"/>
              <w:szCs w:val="32"/>
            </w:rPr>
          </w:pPr>
          <w:r>
            <w:rPr>
              <w:sz w:val="32"/>
              <w:szCs w:val="32"/>
            </w:rPr>
            <w:fldChar w:fldCharType="begin"/>
          </w:r>
          <w:r>
            <w:rPr>
              <w:sz w:val="32"/>
              <w:szCs w:val="32"/>
            </w:rPr>
            <w:instrText xml:space="preserve"> HYPERLINK \l _Toc2577 </w:instrText>
          </w:r>
          <w:r>
            <w:rPr>
              <w:sz w:val="32"/>
              <w:szCs w:val="32"/>
            </w:rPr>
            <w:fldChar w:fldCharType="separate"/>
          </w:r>
          <w:r>
            <w:rPr>
              <w:rFonts w:hint="eastAsia" w:ascii="黑体" w:hAnsi="黑体" w:eastAsia="黑体" w:cs="黑体"/>
              <w:bCs w:val="0"/>
              <w:sz w:val="32"/>
              <w:szCs w:val="32"/>
              <w:highlight w:val="none"/>
              <w:lang w:val="en-US" w:eastAsia="zh-CN"/>
            </w:rPr>
            <w:t>附图</w:t>
          </w:r>
          <w:r>
            <w:rPr>
              <w:sz w:val="32"/>
              <w:szCs w:val="32"/>
            </w:rPr>
            <w:tab/>
          </w:r>
          <w:r>
            <w:rPr>
              <w:sz w:val="32"/>
              <w:szCs w:val="32"/>
            </w:rPr>
            <w:fldChar w:fldCharType="begin"/>
          </w:r>
          <w:r>
            <w:rPr>
              <w:sz w:val="32"/>
              <w:szCs w:val="32"/>
            </w:rPr>
            <w:instrText xml:space="preserve"> PAGEREF _Toc2577 \h </w:instrText>
          </w:r>
          <w:r>
            <w:rPr>
              <w:sz w:val="32"/>
              <w:szCs w:val="32"/>
            </w:rPr>
            <w:fldChar w:fldCharType="separate"/>
          </w:r>
          <w:r>
            <w:rPr>
              <w:sz w:val="32"/>
              <w:szCs w:val="32"/>
            </w:rPr>
            <w:t>82</w:t>
          </w:r>
          <w:r>
            <w:rPr>
              <w:sz w:val="32"/>
              <w:szCs w:val="32"/>
            </w:rPr>
            <w:fldChar w:fldCharType="end"/>
          </w:r>
          <w:r>
            <w:rPr>
              <w:sz w:val="32"/>
              <w:szCs w:val="32"/>
            </w:rPr>
            <w:fldChar w:fldCharType="end"/>
          </w:r>
        </w:p>
        <w:p w14:paraId="4F141879">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textAlignment w:val="auto"/>
            <w:rPr>
              <w:sz w:val="32"/>
              <w:szCs w:val="32"/>
            </w:rPr>
          </w:pPr>
          <w:r>
            <w:rPr>
              <w:sz w:val="32"/>
              <w:szCs w:val="32"/>
            </w:rPr>
            <w:fldChar w:fldCharType="end"/>
          </w:r>
        </w:p>
        <w:p w14:paraId="371FF080">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textAlignment w:val="auto"/>
            <w:rPr>
              <w:sz w:val="32"/>
              <w:szCs w:val="32"/>
            </w:rPr>
          </w:pPr>
        </w:p>
        <w:p w14:paraId="6DE923F6">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textAlignment w:val="auto"/>
            <w:rPr>
              <w:sz w:val="32"/>
              <w:szCs w:val="32"/>
            </w:rPr>
          </w:pPr>
        </w:p>
        <w:p w14:paraId="5A034817">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textAlignment w:val="auto"/>
            <w:rPr>
              <w:sz w:val="32"/>
              <w:szCs w:val="32"/>
            </w:rPr>
          </w:pPr>
        </w:p>
        <w:p w14:paraId="04A412D6">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textAlignment w:val="auto"/>
            <w:rPr>
              <w:sz w:val="32"/>
              <w:szCs w:val="32"/>
            </w:rPr>
          </w:pPr>
        </w:p>
        <w:p w14:paraId="331C64BB">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textAlignment w:val="auto"/>
            <w:rPr>
              <w:sz w:val="32"/>
              <w:szCs w:val="32"/>
            </w:rPr>
          </w:pPr>
        </w:p>
        <w:p w14:paraId="7361B03F">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textAlignment w:val="auto"/>
            <w:sectPr>
              <w:headerReference r:id="rId5" w:type="default"/>
              <w:pgSz w:w="11850" w:h="16783"/>
              <w:pgMar w:top="2098" w:right="1417" w:bottom="1984" w:left="1587" w:header="851" w:footer="992" w:gutter="0"/>
              <w:pgNumType w:fmt="decimal" w:start="1"/>
              <w:cols w:space="0" w:num="1"/>
              <w:rtlGutter w:val="0"/>
              <w:docGrid w:type="lines" w:linePitch="319" w:charSpace="0"/>
            </w:sectPr>
          </w:pPr>
        </w:p>
      </w:sdtContent>
    </w:sdt>
    <w:p w14:paraId="3FF39D29">
      <w:pPr>
        <w:pStyle w:val="2"/>
        <w:pageBreakBefore w:val="0"/>
        <w:kinsoku/>
        <w:wordWrap/>
        <w:topLinePunct w:val="0"/>
        <w:bidi w:val="0"/>
        <w:spacing w:before="0" w:beforeLines="0" w:beforeAutospacing="0" w:after="0" w:afterLines="0" w:afterAutospacing="0" w:line="560" w:lineRule="exact"/>
        <w:ind w:left="0" w:leftChars="0" w:firstLine="640" w:firstLineChars="200"/>
        <w:jc w:val="both"/>
        <w:rPr>
          <w:rFonts w:hint="default" w:ascii="Times New Roman" w:hAnsi="Times New Roman" w:eastAsia="仿宋_GB2312" w:cs="Times New Roman"/>
          <w:b w:val="0"/>
          <w:bCs/>
          <w:color w:val="auto"/>
          <w:sz w:val="32"/>
          <w:szCs w:val="32"/>
          <w:u w:val="none"/>
          <w:lang w:val="en-US" w:eastAsia="zh-CN"/>
        </w:rPr>
      </w:pPr>
      <w:bookmarkStart w:id="1" w:name="_Toc27123"/>
      <w:bookmarkStart w:id="2" w:name="_Toc8551"/>
      <w:r>
        <w:rPr>
          <w:rFonts w:hint="eastAsia" w:ascii="黑体" w:hAnsi="黑体" w:eastAsia="黑体" w:cs="黑体"/>
          <w:b w:val="0"/>
          <w:bCs/>
          <w:color w:val="auto"/>
          <w:sz w:val="32"/>
          <w:szCs w:val="32"/>
          <w:u w:val="none"/>
          <w:lang w:val="en-US" w:eastAsia="zh-CN"/>
        </w:rPr>
        <w:t>一、规划总则</w:t>
      </w:r>
      <w:bookmarkEnd w:id="0"/>
      <w:bookmarkEnd w:id="1"/>
      <w:bookmarkEnd w:id="2"/>
    </w:p>
    <w:p w14:paraId="6BC2C5E9">
      <w:pPr>
        <w:pStyle w:val="3"/>
        <w:pageBreakBefore w:val="0"/>
        <w:kinsoku/>
        <w:wordWrap/>
        <w:topLinePunct w:val="0"/>
        <w:bidi w:val="0"/>
        <w:spacing w:beforeAutospacing="0" w:afterAutospacing="0" w:line="560" w:lineRule="exact"/>
        <w:ind w:left="0" w:leftChars="0" w:firstLine="640" w:firstLineChars="200"/>
        <w:rPr>
          <w:rFonts w:hint="default" w:ascii="Times New Roman" w:hAnsi="Times New Roman" w:eastAsia="仿宋_GB2312" w:cs="Times New Roman"/>
          <w:color w:val="auto"/>
          <w:sz w:val="32"/>
          <w:szCs w:val="32"/>
          <w:u w:val="none"/>
          <w:lang w:val="en-US" w:eastAsia="zh-CN"/>
        </w:rPr>
      </w:pPr>
      <w:bookmarkStart w:id="3" w:name="_Toc31690"/>
      <w:bookmarkStart w:id="4" w:name="_Toc25372"/>
      <w:bookmarkStart w:id="5" w:name="_Toc26607"/>
      <w:r>
        <w:rPr>
          <w:rFonts w:hint="eastAsia" w:ascii="楷体_GB2312" w:hAnsi="楷体_GB2312" w:eastAsia="楷体_GB2312" w:cs="楷体_GB2312"/>
          <w:b w:val="0"/>
          <w:bCs w:val="0"/>
          <w:color w:val="auto"/>
          <w:sz w:val="32"/>
          <w:szCs w:val="32"/>
          <w:u w:val="none"/>
          <w:lang w:val="en-US" w:eastAsia="zh-CN"/>
        </w:rPr>
        <w:t>（一）规划背景</w:t>
      </w:r>
      <w:bookmarkEnd w:id="3"/>
      <w:bookmarkEnd w:id="4"/>
      <w:bookmarkEnd w:id="5"/>
    </w:p>
    <w:p w14:paraId="4CF8D928">
      <w:pPr>
        <w:pageBreakBefore w:val="0"/>
        <w:kinsoku/>
        <w:wordWrap/>
        <w:topLinePunct w:val="0"/>
        <w:bidi w:val="0"/>
        <w:spacing w:beforeAutospacing="0" w:afterAutospacing="0" w:line="560" w:lineRule="exact"/>
        <w:ind w:left="0" w:leftChars="0"/>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val="en-US" w:eastAsia="zh-CN"/>
        </w:rPr>
        <w:t>加强建筑垃圾管理，推进源头减量和综合利用，是生态文明建设的重要支撑，对保护生态环境、促进经济社会可持续发展、改善人民群众生活环境、保障人民健康安全具有重要作用。</w:t>
      </w:r>
    </w:p>
    <w:p w14:paraId="0EC40C25">
      <w:pPr>
        <w:pageBreakBefore w:val="0"/>
        <w:kinsoku/>
        <w:wordWrap/>
        <w:topLinePunct w:val="0"/>
        <w:bidi w:val="0"/>
        <w:spacing w:beforeAutospacing="0" w:afterAutospacing="0" w:line="560" w:lineRule="exact"/>
        <w:ind w:left="0" w:leftChars="0"/>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val="en-US" w:eastAsia="zh-CN"/>
        </w:rPr>
        <w:t>《中华人民共和国固体废物污染环境防治法》</w:t>
      </w:r>
      <w:r>
        <w:rPr>
          <w:rFonts w:hint="eastAsia" w:eastAsia="仿宋_GB2312" w:cs="Times New Roman"/>
          <w:color w:val="auto"/>
          <w:sz w:val="32"/>
          <w:szCs w:val="32"/>
          <w:u w:val="none"/>
          <w:lang w:val="en-US" w:eastAsia="zh-CN"/>
        </w:rPr>
        <w:t>（</w:t>
      </w:r>
      <w:r>
        <w:rPr>
          <w:rFonts w:hint="default" w:ascii="Times New Roman" w:hAnsi="Times New Roman" w:eastAsia="仿宋_GB2312" w:cs="Times New Roman"/>
          <w:color w:val="auto"/>
          <w:sz w:val="32"/>
          <w:szCs w:val="32"/>
          <w:u w:val="none"/>
          <w:lang w:val="en-US" w:eastAsia="zh-CN"/>
        </w:rPr>
        <w:t>2020年4月29日，中华人民共和国第十三届全国人民代表大会常务委员会第十七次会议修订</w:t>
      </w:r>
      <w:r>
        <w:rPr>
          <w:rFonts w:hint="eastAsia" w:eastAsia="仿宋_GB2312" w:cs="Times New Roman"/>
          <w:color w:val="auto"/>
          <w:sz w:val="32"/>
          <w:szCs w:val="32"/>
          <w:u w:val="none"/>
          <w:lang w:val="en-US" w:eastAsia="zh-CN"/>
        </w:rPr>
        <w:t>）</w:t>
      </w:r>
      <w:r>
        <w:rPr>
          <w:rFonts w:hint="default" w:ascii="Times New Roman" w:hAnsi="Times New Roman" w:eastAsia="仿宋_GB2312" w:cs="Times New Roman"/>
          <w:color w:val="auto"/>
          <w:sz w:val="32"/>
          <w:szCs w:val="32"/>
          <w:u w:val="none"/>
          <w:lang w:val="en-US" w:eastAsia="zh-CN"/>
        </w:rPr>
        <w:t>，完善了建筑垃圾、农业固体废物等污染环境防治制度，提出</w:t>
      </w:r>
      <w:r>
        <w:rPr>
          <w:rFonts w:hint="eastAsia" w:ascii="仿宋_GB2312" w:hAnsi="仿宋_GB2312" w:eastAsia="仿宋_GB2312" w:cs="仿宋_GB2312"/>
          <w:color w:val="auto"/>
          <w:sz w:val="32"/>
          <w:szCs w:val="32"/>
          <w:u w:val="none"/>
          <w:lang w:val="en-US" w:eastAsia="zh-CN"/>
        </w:rPr>
        <w:t>“</w:t>
      </w:r>
      <w:r>
        <w:rPr>
          <w:rFonts w:hint="default" w:ascii="Times New Roman" w:hAnsi="Times New Roman" w:eastAsia="仿宋_GB2312" w:cs="Times New Roman"/>
          <w:color w:val="auto"/>
          <w:sz w:val="32"/>
          <w:szCs w:val="32"/>
          <w:u w:val="none"/>
          <w:lang w:val="en-US" w:eastAsia="zh-CN"/>
        </w:rPr>
        <w:t>县级以上地方人民政府应当加强建筑垃圾污染环境的防治，建立建筑垃圾分类处理制度，制定包括源头减量、分类处理、消纳设施和场所布局及建设等在内的建筑垃圾污染环境防治工作规划</w:t>
      </w:r>
      <w:r>
        <w:rPr>
          <w:rFonts w:hint="eastAsia" w:ascii="仿宋_GB2312" w:hAnsi="仿宋_GB2312" w:eastAsia="仿宋_GB2312" w:cs="仿宋_GB2312"/>
          <w:color w:val="auto"/>
          <w:sz w:val="32"/>
          <w:szCs w:val="32"/>
          <w:u w:val="none"/>
          <w:lang w:val="en-US" w:eastAsia="zh-CN"/>
        </w:rPr>
        <w:t>”</w:t>
      </w:r>
      <w:r>
        <w:rPr>
          <w:rFonts w:hint="default" w:ascii="Times New Roman" w:hAnsi="Times New Roman" w:eastAsia="仿宋_GB2312" w:cs="Times New Roman"/>
          <w:color w:val="auto"/>
          <w:sz w:val="32"/>
          <w:szCs w:val="32"/>
          <w:u w:val="none"/>
          <w:lang w:val="en-US" w:eastAsia="zh-CN"/>
        </w:rPr>
        <w:t>。</w:t>
      </w:r>
    </w:p>
    <w:p w14:paraId="6B05975C">
      <w:pPr>
        <w:pageBreakBefore w:val="0"/>
        <w:kinsoku/>
        <w:wordWrap/>
        <w:topLinePunct w:val="0"/>
        <w:bidi w:val="0"/>
        <w:spacing w:beforeAutospacing="0" w:afterAutospacing="0" w:line="560" w:lineRule="exact"/>
        <w:ind w:left="0" w:leftChars="0"/>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val="en-US" w:eastAsia="zh-CN"/>
        </w:rPr>
        <w:t>《住房和城乡建设部关于推进建筑垃圾减量化的指导意见》</w:t>
      </w:r>
      <w:r>
        <w:rPr>
          <w:rFonts w:hint="eastAsia" w:eastAsia="仿宋_GB2312" w:cs="Times New Roman"/>
          <w:color w:val="auto"/>
          <w:sz w:val="32"/>
          <w:szCs w:val="32"/>
          <w:u w:val="none"/>
          <w:lang w:val="en-US" w:eastAsia="zh-CN"/>
        </w:rPr>
        <w:t>（</w:t>
      </w:r>
      <w:r>
        <w:rPr>
          <w:rFonts w:hint="default" w:ascii="Times New Roman" w:hAnsi="Times New Roman" w:eastAsia="仿宋_GB2312" w:cs="Times New Roman"/>
          <w:color w:val="auto"/>
          <w:sz w:val="32"/>
          <w:szCs w:val="32"/>
          <w:highlight w:val="none"/>
          <w:u w:val="none"/>
          <w:lang w:val="en-US" w:eastAsia="zh-CN"/>
        </w:rPr>
        <w:t>建质〔2020〕46号</w:t>
      </w:r>
      <w:r>
        <w:rPr>
          <w:rFonts w:hint="eastAsia" w:eastAsia="仿宋_GB2312" w:cs="Times New Roman"/>
          <w:color w:val="auto"/>
          <w:sz w:val="32"/>
          <w:szCs w:val="32"/>
          <w:u w:val="none"/>
          <w:lang w:val="en-US" w:eastAsia="zh-CN"/>
        </w:rPr>
        <w:t>）</w:t>
      </w:r>
      <w:r>
        <w:rPr>
          <w:rFonts w:hint="default" w:ascii="Times New Roman" w:hAnsi="Times New Roman" w:eastAsia="仿宋_GB2312" w:cs="Times New Roman"/>
          <w:color w:val="auto"/>
          <w:sz w:val="32"/>
          <w:szCs w:val="32"/>
          <w:u w:val="none"/>
          <w:lang w:val="en-US" w:eastAsia="zh-CN"/>
        </w:rPr>
        <w:t>，要求</w:t>
      </w:r>
      <w:r>
        <w:rPr>
          <w:rFonts w:hint="eastAsia" w:ascii="仿宋_GB2312" w:hAnsi="仿宋_GB2312" w:eastAsia="仿宋_GB2312" w:cs="仿宋_GB2312"/>
          <w:color w:val="auto"/>
          <w:sz w:val="32"/>
          <w:szCs w:val="32"/>
          <w:u w:val="none"/>
          <w:lang w:val="en-US" w:eastAsia="zh-CN"/>
        </w:rPr>
        <w:t>“</w:t>
      </w:r>
      <w:r>
        <w:rPr>
          <w:rFonts w:hint="default" w:ascii="Times New Roman" w:hAnsi="Times New Roman" w:eastAsia="仿宋_GB2312" w:cs="Times New Roman"/>
          <w:color w:val="auto"/>
          <w:sz w:val="32"/>
          <w:szCs w:val="32"/>
          <w:u w:val="none"/>
          <w:lang w:val="en-US" w:eastAsia="zh-CN"/>
        </w:rPr>
        <w:t>2020年底，各地区建筑垃圾减量化工作机制初步建立。2025年底，各地区建筑垃圾减量化工作机制进一步完善，实现新建建筑施工现场建筑垃圾（不包括工程渣土、工程泥浆）排放量每万平方米不高于300吨，装配式建筑施工现场建筑垃圾（不包括工程渣土、工程泥浆）排放量每万平方米不高于200吨</w:t>
      </w:r>
      <w:r>
        <w:rPr>
          <w:rFonts w:hint="eastAsia" w:ascii="仿宋_GB2312" w:hAnsi="仿宋_GB2312" w:eastAsia="仿宋_GB2312" w:cs="仿宋_GB2312"/>
          <w:color w:val="auto"/>
          <w:sz w:val="32"/>
          <w:szCs w:val="32"/>
          <w:u w:val="none"/>
          <w:lang w:val="en-US" w:eastAsia="zh-CN"/>
        </w:rPr>
        <w:t>”</w:t>
      </w:r>
      <w:r>
        <w:rPr>
          <w:rFonts w:hint="default" w:ascii="Times New Roman" w:hAnsi="Times New Roman" w:eastAsia="仿宋_GB2312" w:cs="Times New Roman"/>
          <w:color w:val="auto"/>
          <w:sz w:val="32"/>
          <w:szCs w:val="32"/>
          <w:u w:val="none"/>
          <w:lang w:val="en-US" w:eastAsia="zh-CN"/>
        </w:rPr>
        <w:t>。</w:t>
      </w:r>
    </w:p>
    <w:p w14:paraId="6DD548BB">
      <w:pPr>
        <w:pageBreakBefore w:val="0"/>
        <w:kinsoku/>
        <w:wordWrap/>
        <w:topLinePunct w:val="0"/>
        <w:bidi w:val="0"/>
        <w:spacing w:beforeAutospacing="0" w:afterAutospacing="0" w:line="560" w:lineRule="exact"/>
        <w:ind w:left="0" w:leftChars="0"/>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color w:val="auto"/>
          <w:sz w:val="32"/>
          <w:szCs w:val="32"/>
          <w:highlight w:val="none"/>
          <w:u w:val="none"/>
          <w:lang w:val="en-US" w:eastAsia="zh-CN"/>
        </w:rPr>
        <w:t>《住房和城乡建设部、国家发展改革委</w:t>
      </w:r>
      <w:r>
        <w:rPr>
          <w:rFonts w:hint="eastAsia" w:eastAsia="仿宋_GB2312" w:cs="Times New Roman"/>
          <w:color w:val="auto"/>
          <w:sz w:val="32"/>
          <w:szCs w:val="32"/>
          <w:highlight w:val="none"/>
          <w:u w:val="none"/>
          <w:lang w:val="en-US" w:eastAsia="zh-CN"/>
        </w:rPr>
        <w:t>关于</w:t>
      </w:r>
      <w:r>
        <w:rPr>
          <w:rFonts w:hint="default" w:ascii="Times New Roman" w:hAnsi="Times New Roman" w:eastAsia="仿宋_GB2312" w:cs="Times New Roman"/>
          <w:color w:val="auto"/>
          <w:sz w:val="32"/>
          <w:szCs w:val="32"/>
          <w:highlight w:val="none"/>
          <w:u w:val="none"/>
          <w:lang w:val="en-US" w:eastAsia="zh-CN"/>
        </w:rPr>
        <w:t>印发城乡建设领域碳达峰实施方案</w:t>
      </w:r>
      <w:r>
        <w:rPr>
          <w:rFonts w:hint="eastAsia" w:eastAsia="仿宋_GB2312" w:cs="Times New Roman"/>
          <w:color w:val="auto"/>
          <w:sz w:val="32"/>
          <w:szCs w:val="32"/>
          <w:highlight w:val="none"/>
          <w:u w:val="none"/>
          <w:lang w:val="en-US" w:eastAsia="zh-CN"/>
        </w:rPr>
        <w:t>的通知</w:t>
      </w:r>
      <w:r>
        <w:rPr>
          <w:rFonts w:hint="default" w:ascii="Times New Roman" w:hAnsi="Times New Roman" w:eastAsia="仿宋_GB2312" w:cs="Times New Roman"/>
          <w:color w:val="auto"/>
          <w:sz w:val="32"/>
          <w:szCs w:val="32"/>
          <w:highlight w:val="none"/>
          <w:u w:val="none"/>
          <w:lang w:val="en-US" w:eastAsia="zh-CN"/>
        </w:rPr>
        <w:t>》（建标〔2022〕53号），提出</w:t>
      </w:r>
      <w:r>
        <w:rPr>
          <w:rFonts w:hint="eastAsia" w:ascii="仿宋_GB2312" w:hAnsi="仿宋_GB2312" w:eastAsia="仿宋_GB2312" w:cs="仿宋_GB2312"/>
          <w:color w:val="auto"/>
          <w:sz w:val="32"/>
          <w:szCs w:val="32"/>
          <w:highlight w:val="none"/>
          <w:u w:val="none"/>
          <w:lang w:val="en-US" w:eastAsia="zh-CN"/>
        </w:rPr>
        <w:t>“</w:t>
      </w:r>
      <w:r>
        <w:rPr>
          <w:rFonts w:hint="default" w:ascii="Times New Roman" w:hAnsi="Times New Roman" w:eastAsia="仿宋_GB2312" w:cs="Times New Roman"/>
          <w:color w:val="auto"/>
          <w:sz w:val="32"/>
          <w:szCs w:val="32"/>
          <w:highlight w:val="none"/>
          <w:u w:val="none"/>
          <w:lang w:val="en-US" w:eastAsia="zh-CN"/>
        </w:rPr>
        <w:t>推进建筑垃圾集中处理、分级利用，到2030年建筑垃圾资源化利用率达到55%</w:t>
      </w:r>
      <w:r>
        <w:rPr>
          <w:rFonts w:hint="eastAsia" w:ascii="仿宋_GB2312" w:hAnsi="仿宋_GB2312" w:eastAsia="仿宋_GB2312" w:cs="仿宋_GB2312"/>
          <w:color w:val="auto"/>
          <w:sz w:val="32"/>
          <w:szCs w:val="32"/>
          <w:highlight w:val="none"/>
          <w:u w:val="none"/>
          <w:lang w:val="en-US" w:eastAsia="zh-CN"/>
        </w:rPr>
        <w:t>”</w:t>
      </w:r>
      <w:r>
        <w:rPr>
          <w:rFonts w:hint="default" w:ascii="Times New Roman" w:hAnsi="Times New Roman" w:eastAsia="仿宋_GB2312" w:cs="Times New Roman"/>
          <w:color w:val="auto"/>
          <w:sz w:val="32"/>
          <w:szCs w:val="32"/>
          <w:highlight w:val="none"/>
          <w:u w:val="none"/>
          <w:lang w:val="en-US" w:eastAsia="zh-CN"/>
        </w:rPr>
        <w:t>。</w:t>
      </w:r>
    </w:p>
    <w:p w14:paraId="43AE9F24">
      <w:pPr>
        <w:pageBreakBefore w:val="0"/>
        <w:kinsoku/>
        <w:wordWrap/>
        <w:topLinePunct w:val="0"/>
        <w:bidi w:val="0"/>
        <w:spacing w:beforeAutospacing="0" w:afterAutospacing="0" w:line="560" w:lineRule="exact"/>
        <w:ind w:left="0" w:leftChars="0" w:firstLine="640" w:firstLineChars="200"/>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shd w:val="clear" w:color="auto" w:fill="auto"/>
          <w:lang w:val="en-US" w:eastAsia="zh-CN"/>
        </w:rPr>
        <w:t>《住房和城乡建设部、国家发展改革委关于印发</w:t>
      </w:r>
      <w:r>
        <w:rPr>
          <w:rFonts w:hint="eastAsia" w:ascii="仿宋_GB2312" w:hAnsi="仿宋_GB2312" w:eastAsia="仿宋_GB2312" w:cs="仿宋_GB2312"/>
          <w:color w:val="auto"/>
          <w:sz w:val="32"/>
          <w:szCs w:val="32"/>
          <w:u w:val="none"/>
          <w:shd w:val="clear" w:color="auto" w:fill="auto"/>
          <w:lang w:val="en-US" w:eastAsia="zh-CN"/>
        </w:rPr>
        <w:t>“</w:t>
      </w:r>
      <w:r>
        <w:rPr>
          <w:rFonts w:hint="default" w:ascii="Times New Roman" w:hAnsi="Times New Roman" w:eastAsia="仿宋_GB2312" w:cs="Times New Roman"/>
          <w:color w:val="auto"/>
          <w:sz w:val="32"/>
          <w:szCs w:val="32"/>
          <w:u w:val="none"/>
          <w:shd w:val="clear" w:color="auto" w:fill="auto"/>
          <w:lang w:val="en-US" w:eastAsia="zh-CN"/>
        </w:rPr>
        <w:t>十四五</w:t>
      </w:r>
      <w:r>
        <w:rPr>
          <w:rFonts w:hint="eastAsia" w:ascii="仿宋_GB2312" w:hAnsi="仿宋_GB2312" w:eastAsia="仿宋_GB2312" w:cs="仿宋_GB2312"/>
          <w:color w:val="auto"/>
          <w:sz w:val="32"/>
          <w:szCs w:val="32"/>
          <w:u w:val="none"/>
          <w:shd w:val="clear" w:color="auto" w:fill="auto"/>
          <w:lang w:val="en-US" w:eastAsia="zh-CN"/>
        </w:rPr>
        <w:t>”</w:t>
      </w:r>
      <w:r>
        <w:rPr>
          <w:rFonts w:hint="default" w:ascii="Times New Roman" w:hAnsi="Times New Roman" w:eastAsia="仿宋_GB2312" w:cs="Times New Roman"/>
          <w:color w:val="auto"/>
          <w:sz w:val="32"/>
          <w:szCs w:val="32"/>
          <w:u w:val="none"/>
          <w:shd w:val="clear" w:color="auto" w:fill="auto"/>
          <w:lang w:val="en-US" w:eastAsia="zh-CN"/>
        </w:rPr>
        <w:t>全国城市基础设施建设规划的通知》（建城〔2022〕57号）</w:t>
      </w:r>
      <w:r>
        <w:rPr>
          <w:rFonts w:hint="default" w:ascii="Times New Roman" w:hAnsi="Times New Roman" w:eastAsia="仿宋_GB2312" w:cs="Times New Roman"/>
          <w:color w:val="auto"/>
          <w:sz w:val="32"/>
          <w:szCs w:val="32"/>
          <w:u w:val="none"/>
          <w:lang w:val="en-US" w:eastAsia="zh-CN"/>
        </w:rPr>
        <w:t>，该规划目标</w:t>
      </w:r>
      <w:r>
        <w:rPr>
          <w:rFonts w:hint="eastAsia" w:ascii="仿宋_GB2312" w:hAnsi="仿宋_GB2312" w:eastAsia="仿宋_GB2312" w:cs="仿宋_GB2312"/>
          <w:color w:val="auto"/>
          <w:sz w:val="32"/>
          <w:szCs w:val="32"/>
          <w:u w:val="none"/>
          <w:lang w:val="en-US" w:eastAsia="zh-CN"/>
        </w:rPr>
        <w:t>“</w:t>
      </w:r>
      <w:r>
        <w:rPr>
          <w:rFonts w:hint="default" w:ascii="Times New Roman" w:hAnsi="Times New Roman" w:eastAsia="仿宋_GB2312" w:cs="Times New Roman"/>
          <w:color w:val="auto"/>
          <w:sz w:val="32"/>
          <w:szCs w:val="32"/>
          <w:u w:val="none"/>
          <w:lang w:val="en-US" w:eastAsia="zh-CN"/>
        </w:rPr>
        <w:t>到2025年，城市建筑垃圾综合利用率达到50%以上</w:t>
      </w:r>
      <w:r>
        <w:rPr>
          <w:rFonts w:hint="eastAsia" w:ascii="仿宋_GB2312" w:hAnsi="仿宋_GB2312" w:eastAsia="仿宋_GB2312" w:cs="仿宋_GB2312"/>
          <w:color w:val="auto"/>
          <w:sz w:val="32"/>
          <w:szCs w:val="32"/>
          <w:u w:val="none"/>
          <w:lang w:val="en-US" w:eastAsia="zh-CN"/>
        </w:rPr>
        <w:t>”</w:t>
      </w:r>
      <w:r>
        <w:rPr>
          <w:rFonts w:hint="default" w:ascii="Times New Roman" w:hAnsi="Times New Roman" w:eastAsia="仿宋_GB2312" w:cs="Times New Roman"/>
          <w:color w:val="auto"/>
          <w:sz w:val="32"/>
          <w:szCs w:val="32"/>
          <w:u w:val="none"/>
          <w:lang w:val="en-US" w:eastAsia="zh-CN"/>
        </w:rPr>
        <w:t>，并将</w:t>
      </w:r>
      <w:r>
        <w:rPr>
          <w:rFonts w:hint="eastAsia" w:ascii="仿宋_GB2312" w:hAnsi="仿宋_GB2312" w:eastAsia="仿宋_GB2312" w:cs="仿宋_GB2312"/>
          <w:color w:val="auto"/>
          <w:sz w:val="32"/>
          <w:szCs w:val="32"/>
          <w:u w:val="none"/>
          <w:lang w:val="en-US" w:eastAsia="zh-CN"/>
        </w:rPr>
        <w:t>“</w:t>
      </w:r>
      <w:r>
        <w:rPr>
          <w:rFonts w:hint="default" w:ascii="Times New Roman" w:hAnsi="Times New Roman" w:eastAsia="仿宋_GB2312" w:cs="Times New Roman"/>
          <w:color w:val="auto"/>
          <w:sz w:val="32"/>
          <w:szCs w:val="32"/>
          <w:u w:val="none"/>
          <w:lang w:val="en-US" w:eastAsia="zh-CN"/>
        </w:rPr>
        <w:t>建立健全建筑垃圾治理和综合利用体系</w:t>
      </w:r>
      <w:r>
        <w:rPr>
          <w:rFonts w:hint="eastAsia" w:ascii="仿宋_GB2312" w:hAnsi="仿宋_GB2312" w:eastAsia="仿宋_GB2312" w:cs="仿宋_GB2312"/>
          <w:color w:val="auto"/>
          <w:sz w:val="32"/>
          <w:szCs w:val="32"/>
          <w:u w:val="none"/>
          <w:lang w:val="en-US" w:eastAsia="zh-CN"/>
        </w:rPr>
        <w:t>”</w:t>
      </w:r>
      <w:r>
        <w:rPr>
          <w:rFonts w:hint="default" w:ascii="Times New Roman" w:hAnsi="Times New Roman" w:eastAsia="仿宋_GB2312" w:cs="Times New Roman"/>
          <w:color w:val="auto"/>
          <w:sz w:val="32"/>
          <w:szCs w:val="32"/>
          <w:u w:val="none"/>
          <w:lang w:val="en-US" w:eastAsia="zh-CN"/>
        </w:rPr>
        <w:t>列为城市环境卫生提升重大行动。</w:t>
      </w:r>
    </w:p>
    <w:p w14:paraId="3B4EB4B3">
      <w:pPr>
        <w:pageBreakBefore w:val="0"/>
        <w:kinsoku/>
        <w:wordWrap/>
        <w:topLinePunct w:val="0"/>
        <w:bidi w:val="0"/>
        <w:spacing w:beforeAutospacing="0" w:afterAutospacing="0" w:line="560" w:lineRule="exact"/>
        <w:ind w:left="0" w:leftChars="0" w:firstLine="640" w:firstLineChars="200"/>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val="en-US" w:eastAsia="zh-CN"/>
        </w:rPr>
        <w:t>《国家发展改革委、生态环境部、住房和城乡建设部</w:t>
      </w:r>
      <w:r>
        <w:rPr>
          <w:rFonts w:hint="eastAsia" w:eastAsia="仿宋_GB2312" w:cs="Times New Roman"/>
          <w:color w:val="auto"/>
          <w:sz w:val="32"/>
          <w:szCs w:val="32"/>
          <w:u w:val="none"/>
          <w:lang w:val="en-US" w:eastAsia="zh-CN"/>
        </w:rPr>
        <w:t>关于</w:t>
      </w:r>
      <w:r>
        <w:rPr>
          <w:rFonts w:hint="eastAsia" w:ascii="Times New Roman" w:hAnsi="Times New Roman" w:eastAsia="仿宋_GB2312" w:cs="Times New Roman"/>
          <w:color w:val="auto"/>
          <w:sz w:val="32"/>
          <w:szCs w:val="32"/>
          <w:u w:val="none"/>
          <w:lang w:val="en-US" w:eastAsia="zh-CN"/>
        </w:rPr>
        <w:t>印发</w:t>
      </w:r>
      <w:r>
        <w:rPr>
          <w:rFonts w:hint="default" w:ascii="Times New Roman" w:hAnsi="Times New Roman" w:eastAsia="仿宋_GB2312" w:cs="Times New Roman"/>
          <w:color w:val="auto"/>
          <w:sz w:val="32"/>
          <w:szCs w:val="32"/>
          <w:u w:val="none"/>
          <w:lang w:val="en-US" w:eastAsia="zh-CN"/>
        </w:rPr>
        <w:t>环境基础设施建设水平提升行动（2023</w:t>
      </w:r>
      <w:r>
        <w:rPr>
          <w:rFonts w:hint="eastAsia" w:eastAsia="仿宋_GB2312" w:cs="Times New Roman"/>
          <w:color w:val="auto"/>
          <w:sz w:val="32"/>
          <w:szCs w:val="32"/>
          <w:u w:val="none"/>
          <w:lang w:val="en-US" w:eastAsia="zh-CN"/>
        </w:rPr>
        <w:t>—</w:t>
      </w:r>
      <w:r>
        <w:rPr>
          <w:rFonts w:hint="default" w:ascii="Times New Roman" w:hAnsi="Times New Roman" w:eastAsia="仿宋_GB2312" w:cs="Times New Roman"/>
          <w:color w:val="auto"/>
          <w:sz w:val="32"/>
          <w:szCs w:val="32"/>
          <w:u w:val="none"/>
          <w:lang w:val="en-US" w:eastAsia="zh-CN"/>
        </w:rPr>
        <w:t>2025年）</w:t>
      </w:r>
      <w:r>
        <w:rPr>
          <w:rFonts w:hint="eastAsia" w:eastAsia="仿宋_GB2312" w:cs="Times New Roman"/>
          <w:color w:val="auto"/>
          <w:sz w:val="32"/>
          <w:szCs w:val="32"/>
          <w:u w:val="none"/>
          <w:lang w:val="en-US" w:eastAsia="zh-CN"/>
        </w:rPr>
        <w:t>的通知</w:t>
      </w:r>
      <w:r>
        <w:rPr>
          <w:rFonts w:hint="default" w:ascii="Times New Roman" w:hAnsi="Times New Roman" w:eastAsia="仿宋_GB2312" w:cs="Times New Roman"/>
          <w:color w:val="auto"/>
          <w:sz w:val="32"/>
          <w:szCs w:val="32"/>
          <w:u w:val="none"/>
          <w:lang w:val="en-US" w:eastAsia="zh-CN"/>
        </w:rPr>
        <w:t>》（发改环资〔2023〕1046号），将建筑垃圾处理设施纳入环境基础设施范畴，并提出</w:t>
      </w:r>
      <w:r>
        <w:rPr>
          <w:rFonts w:hint="eastAsia" w:ascii="仿宋_GB2312" w:hAnsi="仿宋_GB2312" w:eastAsia="仿宋_GB2312" w:cs="仿宋_GB2312"/>
          <w:color w:val="auto"/>
          <w:sz w:val="32"/>
          <w:szCs w:val="32"/>
          <w:u w:val="none"/>
          <w:lang w:val="en-US" w:eastAsia="zh-CN"/>
        </w:rPr>
        <w:t>“</w:t>
      </w:r>
      <w:r>
        <w:rPr>
          <w:rFonts w:hint="default" w:ascii="Times New Roman" w:hAnsi="Times New Roman" w:eastAsia="仿宋_GB2312" w:cs="Times New Roman"/>
          <w:color w:val="auto"/>
          <w:sz w:val="32"/>
          <w:szCs w:val="32"/>
          <w:u w:val="none"/>
          <w:lang w:val="en-US" w:eastAsia="zh-CN"/>
        </w:rPr>
        <w:t>优化布局建筑垃圾中转调配、消纳处置和资源化利用设施，积极推进建筑垃圾分类及资源化利用，加快形成与城市发展需求相匹配的建筑垃圾处理设施体系</w:t>
      </w:r>
      <w:r>
        <w:rPr>
          <w:rFonts w:hint="eastAsia" w:ascii="仿宋_GB2312" w:hAnsi="仿宋_GB2312" w:eastAsia="仿宋_GB2312" w:cs="仿宋_GB2312"/>
          <w:color w:val="auto"/>
          <w:sz w:val="32"/>
          <w:szCs w:val="32"/>
          <w:u w:val="none"/>
          <w:lang w:val="en-US" w:eastAsia="zh-CN"/>
        </w:rPr>
        <w:t>”</w:t>
      </w:r>
      <w:r>
        <w:rPr>
          <w:rFonts w:hint="default" w:ascii="Times New Roman" w:hAnsi="Times New Roman" w:eastAsia="仿宋_GB2312" w:cs="Times New Roman"/>
          <w:color w:val="auto"/>
          <w:sz w:val="32"/>
          <w:szCs w:val="32"/>
          <w:u w:val="none"/>
          <w:lang w:val="en-US" w:eastAsia="zh-CN"/>
        </w:rPr>
        <w:t>。</w:t>
      </w:r>
    </w:p>
    <w:p w14:paraId="3D77D22A">
      <w:pPr>
        <w:pageBreakBefore w:val="0"/>
        <w:kinsoku/>
        <w:wordWrap/>
        <w:topLinePunct w:val="0"/>
        <w:bidi w:val="0"/>
        <w:spacing w:beforeAutospacing="0" w:afterAutospacing="0" w:line="560" w:lineRule="exact"/>
        <w:ind w:left="0" w:leftChars="0" w:firstLine="640" w:firstLineChars="200"/>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val="en-US" w:eastAsia="zh-CN"/>
        </w:rPr>
        <w:t>2022年5月13日，广西壮族自治区第十三届人民代表大会常务委员会第二十九次会议通过了《广西壮族自治区固体废物污染环境防治条例》</w:t>
      </w:r>
      <w:r>
        <w:rPr>
          <w:rFonts w:hint="eastAsia" w:ascii="Times New Roman" w:hAnsi="Times New Roman" w:eastAsia="仿宋_GB2312" w:cs="Times New Roman"/>
          <w:color w:val="auto"/>
          <w:sz w:val="32"/>
          <w:szCs w:val="32"/>
          <w:u w:val="none"/>
          <w:lang w:val="en-US" w:eastAsia="zh-CN"/>
        </w:rPr>
        <w:t>，其中</w:t>
      </w:r>
      <w:r>
        <w:rPr>
          <w:rFonts w:hint="default" w:ascii="Times New Roman" w:hAnsi="Times New Roman" w:eastAsia="仿宋_GB2312" w:cs="Times New Roman"/>
          <w:color w:val="auto"/>
          <w:sz w:val="32"/>
          <w:szCs w:val="32"/>
          <w:u w:val="none"/>
          <w:lang w:val="en-US" w:eastAsia="zh-CN"/>
        </w:rPr>
        <w:t>第三十条规定</w:t>
      </w:r>
      <w:r>
        <w:rPr>
          <w:rFonts w:hint="eastAsia" w:ascii="仿宋_GB2312" w:hAnsi="仿宋_GB2312" w:eastAsia="仿宋_GB2312" w:cs="仿宋_GB2312"/>
          <w:color w:val="auto"/>
          <w:sz w:val="32"/>
          <w:szCs w:val="32"/>
          <w:u w:val="none"/>
          <w:lang w:val="en-US" w:eastAsia="zh-CN"/>
        </w:rPr>
        <w:t>“</w:t>
      </w:r>
      <w:r>
        <w:rPr>
          <w:rFonts w:hint="default" w:ascii="Times New Roman" w:hAnsi="Times New Roman" w:eastAsia="仿宋_GB2312" w:cs="Times New Roman"/>
          <w:color w:val="auto"/>
          <w:sz w:val="32"/>
          <w:szCs w:val="32"/>
          <w:u w:val="none"/>
          <w:lang w:val="en-US" w:eastAsia="zh-CN"/>
        </w:rPr>
        <w:t>任何单位和个人不得擅自设立弃置场受纳建筑垃圾，不得擅自倾倒、堆放、丢弃、遗撒建筑垃圾</w:t>
      </w:r>
      <w:r>
        <w:rPr>
          <w:rFonts w:hint="eastAsia" w:ascii="Times New Roman" w:hAnsi="Times New Roman" w:eastAsia="仿宋_GB2312" w:cs="Times New Roman"/>
          <w:color w:val="auto"/>
          <w:sz w:val="32"/>
          <w:szCs w:val="32"/>
          <w:u w:val="none"/>
          <w:lang w:val="en-US" w:eastAsia="zh-CN"/>
        </w:rPr>
        <w:t>。</w:t>
      </w:r>
      <w:r>
        <w:rPr>
          <w:rFonts w:hint="default" w:ascii="Times New Roman" w:hAnsi="Times New Roman" w:eastAsia="仿宋_GB2312" w:cs="Times New Roman"/>
          <w:color w:val="auto"/>
          <w:sz w:val="32"/>
          <w:szCs w:val="32"/>
          <w:u w:val="none"/>
          <w:lang w:val="en-US" w:eastAsia="zh-CN"/>
        </w:rPr>
        <w:t>工程施工单位应当编制建筑垃圾处理方案</w:t>
      </w:r>
      <w:r>
        <w:rPr>
          <w:rFonts w:hint="eastAsia" w:ascii="仿宋_GB2312" w:hAnsi="仿宋_GB2312" w:eastAsia="仿宋_GB2312" w:cs="仿宋_GB2312"/>
          <w:color w:val="auto"/>
          <w:sz w:val="32"/>
          <w:szCs w:val="32"/>
          <w:u w:val="none"/>
          <w:lang w:val="en-US" w:eastAsia="zh-CN"/>
        </w:rPr>
        <w:t>”“</w:t>
      </w:r>
      <w:r>
        <w:rPr>
          <w:rFonts w:hint="default" w:ascii="Times New Roman" w:hAnsi="Times New Roman" w:eastAsia="仿宋_GB2312" w:cs="Times New Roman"/>
          <w:color w:val="auto"/>
          <w:sz w:val="32"/>
          <w:szCs w:val="32"/>
          <w:u w:val="none"/>
          <w:lang w:val="en-US" w:eastAsia="zh-CN"/>
        </w:rPr>
        <w:t>建筑垃圾运输应当按照规定路线行驶</w:t>
      </w:r>
      <w:r>
        <w:rPr>
          <w:rFonts w:hint="eastAsia" w:ascii="仿宋_GB2312" w:hAnsi="仿宋_GB2312" w:eastAsia="仿宋_GB2312" w:cs="仿宋_GB2312"/>
          <w:color w:val="auto"/>
          <w:sz w:val="32"/>
          <w:szCs w:val="32"/>
          <w:u w:val="none"/>
          <w:lang w:val="en-US" w:eastAsia="zh-CN"/>
        </w:rPr>
        <w:t>”</w:t>
      </w:r>
      <w:r>
        <w:rPr>
          <w:rFonts w:hint="default" w:ascii="Times New Roman" w:hAnsi="Times New Roman" w:eastAsia="仿宋_GB2312" w:cs="Times New Roman"/>
          <w:color w:val="auto"/>
          <w:sz w:val="32"/>
          <w:szCs w:val="32"/>
          <w:u w:val="none"/>
          <w:lang w:val="en-US" w:eastAsia="zh-CN"/>
        </w:rPr>
        <w:t>。</w:t>
      </w:r>
    </w:p>
    <w:p w14:paraId="63BCDA38">
      <w:pPr>
        <w:pageBreakBefore w:val="0"/>
        <w:kinsoku/>
        <w:wordWrap/>
        <w:topLinePunct w:val="0"/>
        <w:bidi w:val="0"/>
        <w:spacing w:beforeAutospacing="0" w:afterAutospacing="0" w:line="560" w:lineRule="exact"/>
        <w:ind w:left="0" w:leftChars="0"/>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color w:val="auto"/>
          <w:sz w:val="32"/>
          <w:szCs w:val="32"/>
          <w:u w:val="none"/>
          <w:lang w:val="en-US" w:eastAsia="zh-CN"/>
        </w:rPr>
        <w:t>为深入贯彻习近平生态文明思想，指导和推动融安</w:t>
      </w:r>
      <w:r>
        <w:rPr>
          <w:rFonts w:hint="default" w:ascii="Times New Roman" w:hAnsi="Times New Roman" w:eastAsia="仿宋_GB2312" w:cs="Times New Roman"/>
          <w:color w:val="auto"/>
          <w:sz w:val="32"/>
          <w:szCs w:val="32"/>
          <w:highlight w:val="none"/>
          <w:u w:val="none"/>
          <w:lang w:val="en-US" w:eastAsia="zh-CN"/>
        </w:rPr>
        <w:t>县</w:t>
      </w:r>
      <w:r>
        <w:rPr>
          <w:rFonts w:hint="default" w:ascii="Times New Roman" w:hAnsi="Times New Roman" w:eastAsia="仿宋_GB2312" w:cs="Times New Roman"/>
          <w:color w:val="auto"/>
          <w:sz w:val="32"/>
          <w:szCs w:val="32"/>
          <w:u w:val="none"/>
          <w:lang w:val="en-US" w:eastAsia="zh-CN"/>
        </w:rPr>
        <w:t>建立健全建筑垃圾全过程管理制度，做好建筑垃圾处理设施建设，促进</w:t>
      </w:r>
      <w:r>
        <w:rPr>
          <w:rFonts w:hint="default" w:ascii="Times New Roman" w:hAnsi="Times New Roman" w:eastAsia="仿宋_GB2312" w:cs="Times New Roman"/>
          <w:color w:val="auto"/>
          <w:sz w:val="32"/>
          <w:szCs w:val="32"/>
          <w:highlight w:val="none"/>
          <w:u w:val="none"/>
          <w:lang w:val="en-US" w:eastAsia="zh-CN"/>
        </w:rPr>
        <w:t>融安县社会发展更加进步、生态环境更加美丽、人民生活更加幸福、治</w:t>
      </w:r>
      <w:r>
        <w:rPr>
          <w:rFonts w:hint="default" w:ascii="Times New Roman" w:hAnsi="Times New Roman" w:eastAsia="仿宋_GB2312" w:cs="Times New Roman"/>
          <w:color w:val="auto"/>
          <w:sz w:val="32"/>
          <w:szCs w:val="32"/>
          <w:u w:val="none"/>
          <w:lang w:val="en-US" w:eastAsia="zh-CN"/>
        </w:rPr>
        <w:t>理效能更加显著，根据上述</w:t>
      </w:r>
      <w:r>
        <w:rPr>
          <w:rFonts w:hint="default" w:ascii="Times New Roman" w:hAnsi="Times New Roman" w:eastAsia="仿宋_GB2312" w:cs="Times New Roman"/>
          <w:color w:val="auto"/>
          <w:sz w:val="32"/>
          <w:szCs w:val="32"/>
          <w:highlight w:val="none"/>
          <w:u w:val="none"/>
          <w:lang w:val="en-US" w:eastAsia="zh-CN"/>
        </w:rPr>
        <w:t>国家、自治区法律法规</w:t>
      </w:r>
      <w:r>
        <w:rPr>
          <w:rFonts w:hint="default" w:ascii="Times New Roman" w:hAnsi="Times New Roman" w:eastAsia="仿宋_GB2312" w:cs="Times New Roman"/>
          <w:color w:val="auto"/>
          <w:sz w:val="32"/>
          <w:szCs w:val="32"/>
          <w:u w:val="none"/>
          <w:lang w:val="en-US" w:eastAsia="zh-CN"/>
        </w:rPr>
        <w:t>政策文件精神，</w:t>
      </w:r>
      <w:r>
        <w:rPr>
          <w:rFonts w:hint="default" w:ascii="Times New Roman" w:hAnsi="Times New Roman" w:eastAsia="仿宋_GB2312" w:cs="Times New Roman"/>
          <w:bCs/>
          <w:color w:val="auto"/>
          <w:sz w:val="32"/>
          <w:szCs w:val="32"/>
          <w:highlight w:val="none"/>
          <w:u w:val="none"/>
          <w:lang w:val="en-US" w:eastAsia="zh-CN"/>
        </w:rPr>
        <w:t>编制《</w:t>
      </w:r>
      <w:r>
        <w:rPr>
          <w:rFonts w:hint="default" w:ascii="Times New Roman" w:hAnsi="Times New Roman" w:eastAsia="仿宋_GB2312" w:cs="Times New Roman"/>
          <w:color w:val="auto"/>
          <w:sz w:val="32"/>
          <w:szCs w:val="32"/>
          <w:highlight w:val="none"/>
          <w:u w:val="none"/>
          <w:lang w:val="en-US" w:eastAsia="zh-CN"/>
        </w:rPr>
        <w:t>融安</w:t>
      </w:r>
      <w:r>
        <w:rPr>
          <w:rFonts w:hint="default" w:ascii="Times New Roman" w:hAnsi="Times New Roman" w:eastAsia="仿宋_GB2312" w:cs="Times New Roman"/>
          <w:bCs/>
          <w:color w:val="auto"/>
          <w:sz w:val="32"/>
          <w:szCs w:val="32"/>
          <w:highlight w:val="none"/>
          <w:u w:val="none"/>
          <w:lang w:val="en-US" w:eastAsia="zh-CN"/>
        </w:rPr>
        <w:t>县建筑垃圾污染环境防治工作规划》（以下简称《工作规划》）。</w:t>
      </w:r>
    </w:p>
    <w:p w14:paraId="04FA717C">
      <w:pPr>
        <w:pageBreakBefore w:val="0"/>
        <w:kinsoku/>
        <w:wordWrap/>
        <w:topLinePunct w:val="0"/>
        <w:bidi w:val="0"/>
        <w:spacing w:beforeAutospacing="0" w:afterAutospacing="0" w:line="560" w:lineRule="exact"/>
        <w:ind w:left="0" w:leftChars="0"/>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color w:val="auto"/>
          <w:sz w:val="32"/>
          <w:szCs w:val="32"/>
          <w:highlight w:val="none"/>
          <w:u w:val="none"/>
          <w:lang w:val="en-US" w:eastAsia="zh-CN"/>
        </w:rPr>
        <w:t>《工作规划》旨在解决融安县</w:t>
      </w:r>
      <w:r>
        <w:rPr>
          <w:rFonts w:hint="default" w:ascii="Times New Roman" w:hAnsi="Times New Roman" w:eastAsia="仿宋_GB2312" w:cs="Times New Roman"/>
          <w:color w:val="auto"/>
          <w:sz w:val="32"/>
          <w:szCs w:val="32"/>
          <w:u w:val="none"/>
          <w:lang w:val="en-US" w:eastAsia="zh-CN"/>
        </w:rPr>
        <w:t>建筑垃圾分类和处理设施能力不足的问题，以提高建筑垃圾综合利用能力为重点，补短板、强弱项、提质量、增效率，因地制宜进一步加快</w:t>
      </w:r>
      <w:r>
        <w:rPr>
          <w:rFonts w:hint="default" w:ascii="Times New Roman" w:hAnsi="Times New Roman" w:eastAsia="仿宋_GB2312" w:cs="Times New Roman"/>
          <w:color w:val="auto"/>
          <w:sz w:val="32"/>
          <w:szCs w:val="32"/>
          <w:highlight w:val="none"/>
          <w:u w:val="none"/>
          <w:lang w:val="en-US" w:eastAsia="zh-CN"/>
        </w:rPr>
        <w:t>建筑垃圾分类管理和处理设施建设，全面提升建筑垃圾处理处置效率</w:t>
      </w:r>
      <w:r>
        <w:rPr>
          <w:rFonts w:hint="default" w:ascii="Times New Roman" w:hAnsi="Times New Roman" w:eastAsia="仿宋_GB2312" w:cs="Times New Roman"/>
          <w:sz w:val="32"/>
          <w:szCs w:val="32"/>
          <w:highlight w:val="none"/>
          <w:lang w:val="en-US" w:eastAsia="zh-CN"/>
        </w:rPr>
        <w:t>，促进全县建筑垃圾处理行业高质量发展。</w:t>
      </w:r>
    </w:p>
    <w:p w14:paraId="41AF94A3">
      <w:pPr>
        <w:pStyle w:val="3"/>
        <w:pageBreakBefore w:val="0"/>
        <w:kinsoku/>
        <w:wordWrap/>
        <w:topLinePunct w:val="0"/>
        <w:bidi w:val="0"/>
        <w:spacing w:beforeAutospacing="0" w:afterAutospacing="0" w:line="560" w:lineRule="exact"/>
        <w:ind w:left="0" w:leftChars="0" w:firstLine="640" w:firstLineChars="200"/>
        <w:rPr>
          <w:rFonts w:hint="eastAsia" w:ascii="楷体_GB2312" w:hAnsi="楷体_GB2312" w:eastAsia="楷体_GB2312" w:cs="楷体_GB2312"/>
          <w:b w:val="0"/>
          <w:bCs w:val="0"/>
          <w:color w:val="auto"/>
          <w:sz w:val="32"/>
          <w:szCs w:val="32"/>
          <w:highlight w:val="none"/>
          <w:u w:val="none"/>
          <w:lang w:val="en-US" w:eastAsia="zh-CN"/>
        </w:rPr>
      </w:pPr>
      <w:bookmarkStart w:id="6" w:name="_Toc3725"/>
      <w:bookmarkStart w:id="7" w:name="_Toc10366"/>
      <w:bookmarkStart w:id="8" w:name="_Toc15259"/>
      <w:r>
        <w:rPr>
          <w:rFonts w:hint="eastAsia" w:ascii="楷体_GB2312" w:hAnsi="楷体_GB2312" w:eastAsia="楷体_GB2312" w:cs="楷体_GB2312"/>
          <w:b w:val="0"/>
          <w:bCs w:val="0"/>
          <w:color w:val="auto"/>
          <w:sz w:val="32"/>
          <w:szCs w:val="32"/>
          <w:highlight w:val="none"/>
          <w:u w:val="none"/>
          <w:lang w:val="en-US" w:eastAsia="zh-CN"/>
        </w:rPr>
        <w:t>（二）指导思想</w:t>
      </w:r>
      <w:bookmarkEnd w:id="6"/>
      <w:bookmarkEnd w:id="7"/>
      <w:bookmarkEnd w:id="8"/>
    </w:p>
    <w:p w14:paraId="597DFC2D">
      <w:pPr>
        <w:pageBreakBefore w:val="0"/>
        <w:kinsoku/>
        <w:wordWrap/>
        <w:topLinePunct w:val="0"/>
        <w:bidi w:val="0"/>
        <w:spacing w:beforeAutospacing="0" w:afterAutospacing="0" w:line="560" w:lineRule="exact"/>
        <w:ind w:left="0" w:leftChars="0"/>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坚持以习近平新时代中国特色社会主义思想为指导，全面贯彻落实党的二十大精神及习近平生态文明思想，贯彻新发展理念，综合考虑资源化利用、经济社会可持续发展、生态环境保护的关系，以发展循环经济、防治建筑垃圾污染环境、推进生态文明建设、改善人居环境为原则，以建筑垃圾减量化、资源化、无害化为导向，建立政府统筹、属地负责、分类处置、全程管控、布局合理、技术先进、资源利用的建筑垃圾治理体系，实现建筑垃圾治理工作经济效益、生态效益和社会效益的同步推进，为</w:t>
      </w:r>
      <w:r>
        <w:rPr>
          <w:rFonts w:hint="default" w:ascii="Times New Roman" w:hAnsi="Times New Roman" w:eastAsia="仿宋_GB2312" w:cs="Times New Roman"/>
          <w:color w:val="auto"/>
          <w:sz w:val="32"/>
          <w:szCs w:val="32"/>
          <w:highlight w:val="none"/>
          <w:u w:val="none"/>
          <w:lang w:val="en-US" w:eastAsia="zh-CN"/>
        </w:rPr>
        <w:t>融安</w:t>
      </w:r>
      <w:r>
        <w:rPr>
          <w:rFonts w:hint="default" w:ascii="Times New Roman" w:hAnsi="Times New Roman" w:eastAsia="仿宋_GB2312" w:cs="Times New Roman"/>
          <w:bCs/>
          <w:color w:val="auto"/>
          <w:sz w:val="32"/>
          <w:szCs w:val="32"/>
          <w:highlight w:val="none"/>
          <w:u w:val="none"/>
          <w:lang w:val="en-US" w:eastAsia="zh-CN"/>
        </w:rPr>
        <w:t>县</w:t>
      </w:r>
      <w:r>
        <w:rPr>
          <w:rFonts w:hint="default" w:ascii="Times New Roman" w:hAnsi="Times New Roman" w:eastAsia="仿宋_GB2312" w:cs="Times New Roman"/>
          <w:sz w:val="32"/>
          <w:szCs w:val="32"/>
          <w:highlight w:val="none"/>
          <w:lang w:val="en-US" w:eastAsia="zh-CN"/>
        </w:rPr>
        <w:t>高质量发展提供坚实支撑。</w:t>
      </w:r>
    </w:p>
    <w:p w14:paraId="0C608FA5">
      <w:pPr>
        <w:pStyle w:val="3"/>
        <w:pageBreakBefore w:val="0"/>
        <w:kinsoku/>
        <w:wordWrap/>
        <w:topLinePunct w:val="0"/>
        <w:bidi w:val="0"/>
        <w:spacing w:beforeAutospacing="0" w:afterAutospacing="0" w:line="560" w:lineRule="exact"/>
        <w:ind w:left="0" w:leftChars="0" w:firstLine="640" w:firstLineChars="200"/>
        <w:rPr>
          <w:rFonts w:hint="default" w:ascii="楷体_GB2312" w:hAnsi="楷体_GB2312" w:eastAsia="楷体_GB2312" w:cs="楷体_GB2312"/>
          <w:b w:val="0"/>
          <w:bCs w:val="0"/>
          <w:color w:val="auto"/>
          <w:sz w:val="32"/>
          <w:szCs w:val="32"/>
          <w:highlight w:val="none"/>
          <w:u w:val="none"/>
          <w:lang w:val="en-US" w:eastAsia="zh-CN"/>
        </w:rPr>
      </w:pPr>
      <w:bookmarkStart w:id="9" w:name="_Toc16107"/>
      <w:bookmarkStart w:id="10" w:name="_Toc10620"/>
      <w:bookmarkStart w:id="11" w:name="_Toc11345"/>
      <w:r>
        <w:rPr>
          <w:rFonts w:hint="eastAsia" w:ascii="楷体_GB2312" w:hAnsi="楷体_GB2312" w:eastAsia="楷体_GB2312" w:cs="楷体_GB2312"/>
          <w:b w:val="0"/>
          <w:bCs w:val="0"/>
          <w:color w:val="auto"/>
          <w:sz w:val="32"/>
          <w:szCs w:val="32"/>
          <w:highlight w:val="none"/>
          <w:u w:val="none"/>
          <w:lang w:val="en-US" w:eastAsia="zh-CN"/>
        </w:rPr>
        <w:t>（三）</w:t>
      </w:r>
      <w:r>
        <w:rPr>
          <w:rFonts w:hint="default" w:ascii="楷体_GB2312" w:hAnsi="楷体_GB2312" w:eastAsia="楷体_GB2312" w:cs="楷体_GB2312"/>
          <w:b w:val="0"/>
          <w:bCs w:val="0"/>
          <w:color w:val="auto"/>
          <w:sz w:val="32"/>
          <w:szCs w:val="32"/>
          <w:highlight w:val="none"/>
          <w:u w:val="none"/>
          <w:lang w:val="en-US" w:eastAsia="zh-CN"/>
        </w:rPr>
        <w:t>规划原则</w:t>
      </w:r>
      <w:bookmarkEnd w:id="9"/>
      <w:bookmarkEnd w:id="10"/>
      <w:bookmarkEnd w:id="11"/>
    </w:p>
    <w:p w14:paraId="044C7234">
      <w:pPr>
        <w:pageBreakBefore w:val="0"/>
        <w:kinsoku/>
        <w:wordWrap/>
        <w:topLinePunct w:val="0"/>
        <w:bidi w:val="0"/>
        <w:spacing w:beforeAutospacing="0" w:afterAutospacing="0" w:line="560" w:lineRule="exact"/>
        <w:ind w:left="0" w:leftChars="0"/>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b/>
          <w:bCs/>
          <w:color w:val="auto"/>
          <w:sz w:val="32"/>
          <w:szCs w:val="32"/>
          <w:u w:val="none"/>
          <w:lang w:val="en-US" w:eastAsia="zh-CN"/>
        </w:rPr>
        <w:t>坚持统一规划、科学实施。</w:t>
      </w:r>
      <w:r>
        <w:rPr>
          <w:rFonts w:hint="default" w:ascii="Times New Roman" w:hAnsi="Times New Roman" w:eastAsia="仿宋_GB2312" w:cs="Times New Roman"/>
          <w:color w:val="auto"/>
          <w:sz w:val="32"/>
          <w:szCs w:val="32"/>
          <w:u w:val="none"/>
          <w:lang w:val="en-US" w:eastAsia="zh-CN"/>
        </w:rPr>
        <w:t>注重全面做好与国土空间规划、各类专项规划衔接，充分考虑区域发展需求，科学预测建筑垃圾产生量，合理布局建筑垃圾处理设施，在满足现状</w:t>
      </w:r>
      <w:r>
        <w:rPr>
          <w:rFonts w:hint="eastAsia" w:eastAsia="仿宋_GB2312" w:cs="Times New Roman"/>
          <w:color w:val="auto"/>
          <w:sz w:val="32"/>
          <w:szCs w:val="32"/>
          <w:u w:val="none"/>
          <w:lang w:val="en-US" w:eastAsia="zh-CN"/>
        </w:rPr>
        <w:t>的</w:t>
      </w:r>
      <w:r>
        <w:rPr>
          <w:rFonts w:hint="default" w:ascii="Times New Roman" w:hAnsi="Times New Roman" w:eastAsia="仿宋_GB2312" w:cs="Times New Roman"/>
          <w:color w:val="auto"/>
          <w:sz w:val="32"/>
          <w:szCs w:val="32"/>
          <w:u w:val="none"/>
          <w:lang w:val="en-US" w:eastAsia="zh-CN"/>
        </w:rPr>
        <w:t>同时</w:t>
      </w:r>
      <w:r>
        <w:rPr>
          <w:rFonts w:hint="eastAsia" w:eastAsia="仿宋_GB2312" w:cs="Times New Roman"/>
          <w:color w:val="auto"/>
          <w:sz w:val="32"/>
          <w:szCs w:val="32"/>
          <w:u w:val="none"/>
          <w:lang w:val="en-US" w:eastAsia="zh-CN"/>
        </w:rPr>
        <w:t>，</w:t>
      </w:r>
      <w:r>
        <w:rPr>
          <w:rFonts w:hint="default" w:ascii="Times New Roman" w:hAnsi="Times New Roman" w:eastAsia="仿宋_GB2312" w:cs="Times New Roman"/>
          <w:color w:val="auto"/>
          <w:sz w:val="32"/>
          <w:szCs w:val="32"/>
          <w:u w:val="none"/>
          <w:lang w:val="en-US" w:eastAsia="zh-CN"/>
        </w:rPr>
        <w:t>充分预留未来需求变化规划空间，促进实现资源共享与污染集中控制。</w:t>
      </w:r>
    </w:p>
    <w:p w14:paraId="00E89E76">
      <w:pPr>
        <w:pageBreakBefore w:val="0"/>
        <w:kinsoku/>
        <w:wordWrap/>
        <w:topLinePunct w:val="0"/>
        <w:bidi w:val="0"/>
        <w:spacing w:beforeAutospacing="0" w:afterAutospacing="0" w:line="560" w:lineRule="exact"/>
        <w:ind w:left="0" w:leftChars="0"/>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b/>
          <w:bCs/>
          <w:color w:val="auto"/>
          <w:sz w:val="32"/>
          <w:szCs w:val="32"/>
          <w:u w:val="none"/>
          <w:lang w:val="en-US" w:eastAsia="zh-CN"/>
        </w:rPr>
        <w:t>坚持区域统筹、突出重点。</w:t>
      </w:r>
      <w:r>
        <w:rPr>
          <w:rFonts w:hint="default" w:ascii="Times New Roman" w:hAnsi="Times New Roman" w:eastAsia="仿宋_GB2312" w:cs="Times New Roman"/>
          <w:color w:val="auto"/>
          <w:sz w:val="32"/>
          <w:szCs w:val="32"/>
          <w:highlight w:val="none"/>
          <w:u w:val="none"/>
          <w:lang w:val="en-US" w:eastAsia="zh-CN"/>
        </w:rPr>
        <w:t>根据不同区域产生建筑垃圾的特点，从县域统筹的角度考虑各类处理设施，</w:t>
      </w:r>
      <w:r>
        <w:rPr>
          <w:rFonts w:hint="default" w:ascii="Times New Roman" w:hAnsi="Times New Roman" w:eastAsia="仿宋_GB2312" w:cs="Times New Roman"/>
          <w:color w:val="auto"/>
          <w:sz w:val="32"/>
          <w:szCs w:val="32"/>
          <w:u w:val="none"/>
          <w:lang w:val="en-US" w:eastAsia="zh-CN"/>
        </w:rPr>
        <w:t>系统做好对建筑垃圾处理设施运行监督管理，突出重点环节、重点领域，以满足当地建筑垃圾处理需求。</w:t>
      </w:r>
    </w:p>
    <w:p w14:paraId="77A3D041">
      <w:pPr>
        <w:pageBreakBefore w:val="0"/>
        <w:kinsoku/>
        <w:wordWrap/>
        <w:topLinePunct w:val="0"/>
        <w:bidi w:val="0"/>
        <w:spacing w:beforeAutospacing="0" w:afterAutospacing="0" w:line="560" w:lineRule="exact"/>
        <w:ind w:left="0" w:leftChars="0"/>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b/>
          <w:bCs/>
          <w:color w:val="auto"/>
          <w:sz w:val="32"/>
          <w:szCs w:val="32"/>
          <w:u w:val="none"/>
          <w:lang w:val="en-US" w:eastAsia="zh-CN"/>
        </w:rPr>
        <w:t>坚持规范处置、分类管控。</w:t>
      </w:r>
      <w:r>
        <w:rPr>
          <w:rFonts w:hint="default" w:ascii="Times New Roman" w:hAnsi="Times New Roman" w:eastAsia="仿宋_GB2312" w:cs="Times New Roman"/>
          <w:color w:val="auto"/>
          <w:sz w:val="32"/>
          <w:szCs w:val="32"/>
          <w:u w:val="none"/>
          <w:lang w:val="en-US" w:eastAsia="zh-CN"/>
        </w:rPr>
        <w:t>严格按照相应法律法规做好建筑垃圾规范处置工作，探索、拓宽建筑垃圾处理途径，建立健全建筑垃圾处理信息管理平台。加强建筑垃圾处理环节监管，明确分类收集、运输、分拣、消纳等要求，对不同产生源头的建筑垃圾强化落实分类管控。</w:t>
      </w:r>
    </w:p>
    <w:p w14:paraId="193556C9">
      <w:pPr>
        <w:pageBreakBefore w:val="0"/>
        <w:kinsoku/>
        <w:wordWrap/>
        <w:topLinePunct w:val="0"/>
        <w:bidi w:val="0"/>
        <w:spacing w:beforeAutospacing="0" w:afterAutospacing="0" w:line="560" w:lineRule="exact"/>
        <w:ind w:left="0" w:leftChars="0"/>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b/>
          <w:bCs/>
          <w:color w:val="auto"/>
          <w:sz w:val="32"/>
          <w:szCs w:val="32"/>
          <w:u w:val="none"/>
          <w:lang w:val="en-US" w:eastAsia="zh-CN"/>
        </w:rPr>
        <w:t>坚持控源减量、利用为先。</w:t>
      </w:r>
      <w:r>
        <w:rPr>
          <w:rFonts w:hint="default" w:ascii="Times New Roman" w:hAnsi="Times New Roman" w:eastAsia="仿宋_GB2312" w:cs="Times New Roman"/>
          <w:color w:val="auto"/>
          <w:sz w:val="32"/>
          <w:szCs w:val="32"/>
          <w:u w:val="none"/>
          <w:lang w:val="en-US" w:eastAsia="zh-CN"/>
        </w:rPr>
        <w:t>通过政策限量、优化施工工艺、完善建筑物设计等措施在源头降低建筑垃圾产生量。积极引进建筑垃圾资源化利用新技术，鼓励建设、施工单位优先使用建筑垃圾再生产品。</w:t>
      </w:r>
    </w:p>
    <w:p w14:paraId="51372732">
      <w:pPr>
        <w:pageBreakBefore w:val="0"/>
        <w:kinsoku/>
        <w:wordWrap/>
        <w:topLinePunct w:val="0"/>
        <w:bidi w:val="0"/>
        <w:spacing w:beforeAutospacing="0" w:afterAutospacing="0" w:line="560" w:lineRule="exact"/>
        <w:ind w:left="0" w:leftChars="0"/>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b/>
          <w:bCs/>
          <w:color w:val="auto"/>
          <w:sz w:val="32"/>
          <w:szCs w:val="32"/>
          <w:u w:val="none"/>
          <w:lang w:val="en-US" w:eastAsia="zh-CN"/>
        </w:rPr>
        <w:t>坚持政府主导、市场运作。</w:t>
      </w:r>
      <w:r>
        <w:rPr>
          <w:rFonts w:hint="default" w:ascii="Times New Roman" w:hAnsi="Times New Roman" w:eastAsia="仿宋_GB2312" w:cs="Times New Roman"/>
          <w:color w:val="auto"/>
          <w:sz w:val="32"/>
          <w:szCs w:val="32"/>
          <w:u w:val="none"/>
          <w:lang w:val="en-US" w:eastAsia="zh-CN"/>
        </w:rPr>
        <w:t>发挥政府引导作用，加大监管力度，建立科学化、规范化、系统化管理体系，强化多部门联动监管合力。</w:t>
      </w:r>
      <w:r>
        <w:rPr>
          <w:rFonts w:hint="default" w:ascii="Times New Roman" w:hAnsi="Times New Roman" w:eastAsia="仿宋_GB2312" w:cs="Times New Roman"/>
          <w:color w:val="auto"/>
          <w:sz w:val="32"/>
          <w:szCs w:val="32"/>
          <w:highlight w:val="none"/>
          <w:u w:val="none"/>
          <w:lang w:val="en-US" w:eastAsia="zh-CN"/>
        </w:rPr>
        <w:t>引入竞争机制，鼓励社会资本积极参与建筑垃圾处理，引导企业合理化市场运营。</w:t>
      </w:r>
    </w:p>
    <w:p w14:paraId="6EE5A584">
      <w:pPr>
        <w:pStyle w:val="3"/>
        <w:pageBreakBefore w:val="0"/>
        <w:kinsoku/>
        <w:wordWrap/>
        <w:topLinePunct w:val="0"/>
        <w:bidi w:val="0"/>
        <w:spacing w:beforeAutospacing="0" w:afterAutospacing="0" w:line="560" w:lineRule="exact"/>
        <w:ind w:left="0" w:leftChars="0" w:firstLine="640" w:firstLineChars="200"/>
        <w:rPr>
          <w:rFonts w:hint="default" w:ascii="楷体_GB2312" w:hAnsi="楷体_GB2312" w:eastAsia="楷体_GB2312" w:cs="楷体_GB2312"/>
          <w:b w:val="0"/>
          <w:bCs w:val="0"/>
          <w:color w:val="auto"/>
          <w:sz w:val="32"/>
          <w:szCs w:val="32"/>
          <w:highlight w:val="none"/>
          <w:u w:val="none"/>
          <w:lang w:val="en-US" w:eastAsia="zh-CN"/>
        </w:rPr>
      </w:pPr>
      <w:bookmarkStart w:id="12" w:name="_Toc29719"/>
      <w:bookmarkStart w:id="13" w:name="_Toc22508"/>
      <w:bookmarkStart w:id="14" w:name="_Toc7283"/>
      <w:r>
        <w:rPr>
          <w:rFonts w:hint="eastAsia" w:ascii="楷体_GB2312" w:hAnsi="楷体_GB2312" w:eastAsia="楷体_GB2312" w:cs="楷体_GB2312"/>
          <w:b w:val="0"/>
          <w:bCs w:val="0"/>
          <w:color w:val="auto"/>
          <w:sz w:val="32"/>
          <w:szCs w:val="32"/>
          <w:highlight w:val="none"/>
          <w:u w:val="none"/>
          <w:lang w:val="en-US" w:eastAsia="zh-CN"/>
        </w:rPr>
        <w:t>（四）</w:t>
      </w:r>
      <w:r>
        <w:rPr>
          <w:rFonts w:hint="default" w:ascii="楷体_GB2312" w:hAnsi="楷体_GB2312" w:eastAsia="楷体_GB2312" w:cs="楷体_GB2312"/>
          <w:b w:val="0"/>
          <w:bCs w:val="0"/>
          <w:color w:val="auto"/>
          <w:sz w:val="32"/>
          <w:szCs w:val="32"/>
          <w:highlight w:val="none"/>
          <w:u w:val="none"/>
          <w:lang w:val="en-US" w:eastAsia="zh-CN"/>
        </w:rPr>
        <w:t>规划依据</w:t>
      </w:r>
      <w:bookmarkEnd w:id="12"/>
      <w:bookmarkEnd w:id="13"/>
      <w:bookmarkEnd w:id="14"/>
    </w:p>
    <w:p w14:paraId="51FEB3A4">
      <w:pPr>
        <w:pageBreakBefore w:val="0"/>
        <w:kinsoku/>
        <w:wordWrap/>
        <w:topLinePunct w:val="0"/>
        <w:bidi w:val="0"/>
        <w:spacing w:beforeAutospacing="0" w:afterAutospacing="0" w:line="560" w:lineRule="exact"/>
        <w:ind w:left="0" w:leftChars="0"/>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color w:val="auto"/>
          <w:sz w:val="32"/>
          <w:szCs w:val="32"/>
          <w:highlight w:val="none"/>
          <w:u w:val="none"/>
          <w:lang w:val="en-US" w:eastAsia="zh-CN"/>
        </w:rPr>
        <w:t>1</w:t>
      </w:r>
      <w:r>
        <w:rPr>
          <w:rFonts w:hint="eastAsia" w:ascii="Times New Roman" w:hAnsi="Times New Roman" w:eastAsia="仿宋_GB2312" w:cs="Times New Roman"/>
          <w:color w:val="auto"/>
          <w:sz w:val="32"/>
          <w:szCs w:val="32"/>
          <w:highlight w:val="none"/>
          <w:u w:val="none"/>
          <w:lang w:val="en-US" w:eastAsia="zh-CN"/>
        </w:rPr>
        <w:t>．</w:t>
      </w:r>
      <w:r>
        <w:rPr>
          <w:rFonts w:hint="default" w:ascii="Times New Roman" w:hAnsi="Times New Roman" w:eastAsia="仿宋_GB2312" w:cs="Times New Roman"/>
          <w:color w:val="auto"/>
          <w:sz w:val="32"/>
          <w:szCs w:val="32"/>
          <w:highlight w:val="none"/>
          <w:u w:val="none"/>
          <w:lang w:val="en-US" w:eastAsia="zh-CN"/>
        </w:rPr>
        <w:t>法律法规</w:t>
      </w:r>
    </w:p>
    <w:p w14:paraId="0B3BAE84">
      <w:pPr>
        <w:pageBreakBefore w:val="0"/>
        <w:kinsoku/>
        <w:wordWrap/>
        <w:topLinePunct w:val="0"/>
        <w:bidi w:val="0"/>
        <w:spacing w:beforeAutospacing="0" w:afterAutospacing="0" w:line="560" w:lineRule="exact"/>
        <w:ind w:left="0" w:leftChars="0"/>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color w:val="auto"/>
          <w:sz w:val="32"/>
          <w:szCs w:val="32"/>
          <w:highlight w:val="none"/>
          <w:u w:val="none"/>
          <w:lang w:val="en-US" w:eastAsia="zh-CN"/>
        </w:rPr>
        <w:t>《中华人民共和国环境保护法》（2015年）；</w:t>
      </w:r>
    </w:p>
    <w:p w14:paraId="37344D87">
      <w:pPr>
        <w:pageBreakBefore w:val="0"/>
        <w:kinsoku/>
        <w:wordWrap/>
        <w:topLinePunct w:val="0"/>
        <w:bidi w:val="0"/>
        <w:spacing w:beforeAutospacing="0" w:afterAutospacing="0" w:line="560" w:lineRule="exact"/>
        <w:ind w:left="0" w:leftChars="0"/>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color w:val="auto"/>
          <w:sz w:val="32"/>
          <w:szCs w:val="32"/>
          <w:highlight w:val="none"/>
          <w:u w:val="none"/>
          <w:lang w:val="en-US" w:eastAsia="zh-CN"/>
        </w:rPr>
        <w:t>《中华人民共和国固体废物污染环境防治法》（2020年9月施行）；</w:t>
      </w:r>
    </w:p>
    <w:p w14:paraId="0F09C5B3">
      <w:pPr>
        <w:pageBreakBefore w:val="0"/>
        <w:kinsoku/>
        <w:wordWrap/>
        <w:topLinePunct w:val="0"/>
        <w:bidi w:val="0"/>
        <w:spacing w:beforeAutospacing="0" w:afterAutospacing="0" w:line="560" w:lineRule="exact"/>
        <w:ind w:left="0" w:leftChars="0"/>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color w:val="auto"/>
          <w:sz w:val="32"/>
          <w:szCs w:val="32"/>
          <w:highlight w:val="none"/>
          <w:u w:val="none"/>
          <w:lang w:val="en-US" w:eastAsia="zh-CN"/>
        </w:rPr>
        <w:t>《中华人民共和国城乡规划法》（2019年）；</w:t>
      </w:r>
    </w:p>
    <w:p w14:paraId="506C8E3B">
      <w:pPr>
        <w:pageBreakBefore w:val="0"/>
        <w:kinsoku/>
        <w:wordWrap/>
        <w:topLinePunct w:val="0"/>
        <w:bidi w:val="0"/>
        <w:spacing w:beforeAutospacing="0" w:afterAutospacing="0" w:line="560" w:lineRule="exact"/>
        <w:ind w:left="0" w:leftChars="0"/>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color w:val="auto"/>
          <w:sz w:val="32"/>
          <w:szCs w:val="32"/>
          <w:highlight w:val="none"/>
          <w:u w:val="none"/>
          <w:lang w:val="en-US" w:eastAsia="zh-CN"/>
        </w:rPr>
        <w:t>《城市市容和环境卫生管理条例》；</w:t>
      </w:r>
    </w:p>
    <w:p w14:paraId="3D293642">
      <w:pPr>
        <w:pageBreakBefore w:val="0"/>
        <w:kinsoku/>
        <w:wordWrap/>
        <w:topLinePunct w:val="0"/>
        <w:bidi w:val="0"/>
        <w:spacing w:beforeAutospacing="0" w:afterAutospacing="0" w:line="560" w:lineRule="exact"/>
        <w:ind w:left="0" w:leftChars="0"/>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color w:val="auto"/>
          <w:sz w:val="32"/>
          <w:szCs w:val="32"/>
          <w:highlight w:val="none"/>
          <w:u w:val="none"/>
          <w:lang w:val="en-US" w:eastAsia="zh-CN"/>
        </w:rPr>
        <w:t>《城市建筑垃圾管理规定》（2005年）；</w:t>
      </w:r>
    </w:p>
    <w:p w14:paraId="307893BE">
      <w:pPr>
        <w:pageBreakBefore w:val="0"/>
        <w:kinsoku/>
        <w:wordWrap/>
        <w:topLinePunct w:val="0"/>
        <w:bidi w:val="0"/>
        <w:spacing w:beforeAutospacing="0" w:afterAutospacing="0" w:line="560" w:lineRule="exact"/>
        <w:ind w:left="0" w:leftChars="0"/>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color w:val="auto"/>
          <w:sz w:val="32"/>
          <w:szCs w:val="32"/>
          <w:highlight w:val="none"/>
          <w:u w:val="none"/>
          <w:lang w:val="en-US" w:eastAsia="zh-CN"/>
        </w:rPr>
        <w:t>《广西壮族自治区固体废物污染环境防治条例》</w:t>
      </w:r>
      <w:r>
        <w:rPr>
          <w:rFonts w:hint="eastAsia" w:eastAsia="仿宋_GB2312" w:cs="Times New Roman"/>
          <w:color w:val="auto"/>
          <w:sz w:val="32"/>
          <w:szCs w:val="32"/>
          <w:highlight w:val="none"/>
          <w:u w:val="none"/>
          <w:lang w:val="en-US" w:eastAsia="zh-CN"/>
        </w:rPr>
        <w:t>。</w:t>
      </w:r>
    </w:p>
    <w:p w14:paraId="5096E25D">
      <w:pPr>
        <w:pageBreakBefore w:val="0"/>
        <w:kinsoku/>
        <w:wordWrap/>
        <w:topLinePunct w:val="0"/>
        <w:bidi w:val="0"/>
        <w:spacing w:beforeAutospacing="0" w:afterAutospacing="0" w:line="560" w:lineRule="exact"/>
        <w:ind w:left="0" w:leftChars="0"/>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color w:val="auto"/>
          <w:sz w:val="32"/>
          <w:szCs w:val="32"/>
          <w:highlight w:val="none"/>
          <w:u w:val="none"/>
          <w:lang w:val="en-US" w:eastAsia="zh-CN"/>
        </w:rPr>
        <w:t>2</w:t>
      </w:r>
      <w:r>
        <w:rPr>
          <w:rFonts w:hint="eastAsia" w:ascii="Times New Roman" w:hAnsi="Times New Roman" w:eastAsia="仿宋_GB2312" w:cs="Times New Roman"/>
          <w:color w:val="auto"/>
          <w:sz w:val="32"/>
          <w:szCs w:val="32"/>
          <w:highlight w:val="none"/>
          <w:u w:val="none"/>
          <w:lang w:val="en-US" w:eastAsia="zh-CN"/>
        </w:rPr>
        <w:t>．</w:t>
      </w:r>
      <w:r>
        <w:rPr>
          <w:rFonts w:hint="default" w:ascii="Times New Roman" w:hAnsi="Times New Roman" w:eastAsia="仿宋_GB2312" w:cs="Times New Roman"/>
          <w:color w:val="auto"/>
          <w:sz w:val="32"/>
          <w:szCs w:val="32"/>
          <w:highlight w:val="none"/>
          <w:u w:val="none"/>
          <w:lang w:val="en-US" w:eastAsia="zh-CN"/>
        </w:rPr>
        <w:t>政策文件及规划</w:t>
      </w:r>
    </w:p>
    <w:p w14:paraId="2CD7820A">
      <w:pPr>
        <w:pageBreakBefore w:val="0"/>
        <w:kinsoku/>
        <w:wordWrap/>
        <w:topLinePunct w:val="0"/>
        <w:bidi w:val="0"/>
        <w:spacing w:beforeAutospacing="0" w:afterAutospacing="0" w:line="560" w:lineRule="exact"/>
        <w:ind w:left="0" w:leftChars="0"/>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color w:val="auto"/>
          <w:sz w:val="32"/>
          <w:szCs w:val="32"/>
          <w:highlight w:val="none"/>
          <w:u w:val="none"/>
          <w:lang w:val="en-US" w:eastAsia="zh-CN"/>
        </w:rPr>
        <w:t>《国务院关于加快建立健全绿色低碳循环发展经济体系的指导意见》（国发〔2021〕4号）；</w:t>
      </w:r>
    </w:p>
    <w:p w14:paraId="5E47262D">
      <w:pPr>
        <w:pageBreakBefore w:val="0"/>
        <w:kinsoku/>
        <w:wordWrap/>
        <w:topLinePunct w:val="0"/>
        <w:bidi w:val="0"/>
        <w:spacing w:beforeAutospacing="0" w:afterAutospacing="0" w:line="560" w:lineRule="exact"/>
        <w:ind w:left="0" w:leftChars="0"/>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color w:val="auto"/>
          <w:sz w:val="32"/>
          <w:szCs w:val="32"/>
          <w:highlight w:val="none"/>
          <w:u w:val="none"/>
          <w:lang w:val="en-US" w:eastAsia="zh-CN"/>
        </w:rPr>
        <w:t>《国务院办公厅转发国家发展改革委等部门关于加快推进城镇环境基础设施建设指导意见的通知》（国办函〔2022〕7号）；</w:t>
      </w:r>
    </w:p>
    <w:p w14:paraId="09338D23">
      <w:pPr>
        <w:pageBreakBefore w:val="0"/>
        <w:kinsoku/>
        <w:wordWrap/>
        <w:topLinePunct w:val="0"/>
        <w:bidi w:val="0"/>
        <w:spacing w:beforeAutospacing="0" w:afterAutospacing="0" w:line="560" w:lineRule="exact"/>
        <w:ind w:left="0" w:leftChars="0"/>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color w:val="auto"/>
          <w:sz w:val="32"/>
          <w:szCs w:val="32"/>
          <w:highlight w:val="none"/>
          <w:u w:val="none"/>
          <w:lang w:val="en-US" w:eastAsia="zh-CN"/>
        </w:rPr>
        <w:t>《国务院办公厅关于加快构建废弃物循环利用体系的意见》（国办发〔2024〕7号）；</w:t>
      </w:r>
    </w:p>
    <w:p w14:paraId="3892DEC1">
      <w:pPr>
        <w:pageBreakBefore w:val="0"/>
        <w:kinsoku/>
        <w:wordWrap/>
        <w:topLinePunct w:val="0"/>
        <w:bidi w:val="0"/>
        <w:spacing w:beforeAutospacing="0" w:afterAutospacing="0" w:line="560" w:lineRule="exact"/>
        <w:ind w:left="0" w:leftChars="0"/>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color w:val="auto"/>
          <w:sz w:val="32"/>
          <w:szCs w:val="32"/>
          <w:highlight w:val="none"/>
          <w:u w:val="none"/>
          <w:lang w:val="en-US" w:eastAsia="zh-CN"/>
        </w:rPr>
        <w:t>《住房</w:t>
      </w:r>
      <w:r>
        <w:rPr>
          <w:rFonts w:hint="eastAsia" w:ascii="Times New Roman" w:hAnsi="Times New Roman" w:eastAsia="仿宋_GB2312" w:cs="Times New Roman"/>
          <w:color w:val="auto"/>
          <w:sz w:val="32"/>
          <w:szCs w:val="32"/>
          <w:highlight w:val="none"/>
          <w:u w:val="none"/>
          <w:lang w:val="en-US" w:eastAsia="zh-CN"/>
        </w:rPr>
        <w:t>和</w:t>
      </w:r>
      <w:r>
        <w:rPr>
          <w:rFonts w:hint="default" w:ascii="Times New Roman" w:hAnsi="Times New Roman" w:eastAsia="仿宋_GB2312" w:cs="Times New Roman"/>
          <w:color w:val="auto"/>
          <w:sz w:val="32"/>
          <w:szCs w:val="32"/>
          <w:highlight w:val="none"/>
          <w:u w:val="none"/>
          <w:lang w:val="en-US" w:eastAsia="zh-CN"/>
        </w:rPr>
        <w:t>城乡建设部关于推进建筑垃圾减量化的指导意见》</w:t>
      </w:r>
      <w:r>
        <w:rPr>
          <w:rFonts w:hint="eastAsia" w:ascii="Times New Roman" w:hAnsi="Times New Roman" w:eastAsia="仿宋_GB2312" w:cs="Times New Roman"/>
          <w:color w:val="auto"/>
          <w:sz w:val="32"/>
          <w:szCs w:val="32"/>
          <w:highlight w:val="none"/>
          <w:u w:val="none"/>
          <w:lang w:val="en-US" w:eastAsia="zh-CN"/>
        </w:rPr>
        <w:t>（</w:t>
      </w:r>
      <w:r>
        <w:rPr>
          <w:rFonts w:hint="default" w:ascii="Times New Roman" w:hAnsi="Times New Roman" w:eastAsia="仿宋_GB2312" w:cs="Times New Roman"/>
          <w:color w:val="auto"/>
          <w:sz w:val="32"/>
          <w:szCs w:val="32"/>
          <w:highlight w:val="none"/>
          <w:u w:val="none"/>
          <w:lang w:val="en-US" w:eastAsia="zh-CN"/>
        </w:rPr>
        <w:t>建质〔2020〕46号</w:t>
      </w:r>
      <w:r>
        <w:rPr>
          <w:rFonts w:hint="eastAsia" w:ascii="Times New Roman" w:hAnsi="Times New Roman" w:eastAsia="仿宋_GB2312" w:cs="Times New Roman"/>
          <w:color w:val="auto"/>
          <w:sz w:val="32"/>
          <w:szCs w:val="32"/>
          <w:highlight w:val="none"/>
          <w:u w:val="none"/>
          <w:lang w:val="en-US" w:eastAsia="zh-CN"/>
        </w:rPr>
        <w:t>）</w:t>
      </w:r>
      <w:r>
        <w:rPr>
          <w:rFonts w:hint="default" w:ascii="Times New Roman" w:hAnsi="Times New Roman" w:eastAsia="仿宋_GB2312" w:cs="Times New Roman"/>
          <w:color w:val="auto"/>
          <w:sz w:val="32"/>
          <w:szCs w:val="32"/>
          <w:highlight w:val="none"/>
          <w:u w:val="none"/>
          <w:lang w:val="en-US" w:eastAsia="zh-CN"/>
        </w:rPr>
        <w:t>；</w:t>
      </w:r>
    </w:p>
    <w:p w14:paraId="14F24EB7">
      <w:pPr>
        <w:pageBreakBefore w:val="0"/>
        <w:kinsoku/>
        <w:wordWrap/>
        <w:topLinePunct w:val="0"/>
        <w:bidi w:val="0"/>
        <w:spacing w:beforeAutospacing="0" w:afterAutospacing="0" w:line="560" w:lineRule="exact"/>
        <w:ind w:left="0" w:leftChars="0"/>
        <w:rPr>
          <w:rFonts w:hint="default" w:ascii="Times New Roman" w:hAnsi="Times New Roman" w:eastAsia="仿宋_GB2312" w:cs="Times New Roman"/>
          <w:b w:val="0"/>
          <w:bCs w:val="0"/>
          <w:sz w:val="32"/>
          <w:szCs w:val="32"/>
          <w:highlight w:val="none"/>
          <w:lang w:val="en-US" w:eastAsia="zh-CN"/>
        </w:rPr>
      </w:pPr>
      <w:r>
        <w:rPr>
          <w:rFonts w:hint="default" w:ascii="Times New Roman" w:hAnsi="Times New Roman" w:eastAsia="仿宋_GB2312" w:cs="Times New Roman"/>
          <w:b w:val="0"/>
          <w:bCs w:val="0"/>
          <w:sz w:val="32"/>
          <w:szCs w:val="32"/>
          <w:highlight w:val="none"/>
          <w:lang w:val="en-US" w:eastAsia="zh-CN"/>
        </w:rPr>
        <w:t>《</w:t>
      </w:r>
      <w:r>
        <w:rPr>
          <w:rFonts w:hint="eastAsia" w:ascii="仿宋_GB2312" w:hAnsi="仿宋_GB2312" w:eastAsia="仿宋_GB2312" w:cs="仿宋_GB2312"/>
          <w:b w:val="0"/>
          <w:bCs w:val="0"/>
          <w:sz w:val="32"/>
          <w:szCs w:val="32"/>
          <w:highlight w:val="none"/>
          <w:lang w:val="en-US" w:eastAsia="zh-CN"/>
        </w:rPr>
        <w:t>“</w:t>
      </w:r>
      <w:r>
        <w:rPr>
          <w:rFonts w:hint="default" w:ascii="Times New Roman" w:hAnsi="Times New Roman" w:eastAsia="仿宋_GB2312" w:cs="Times New Roman"/>
          <w:b w:val="0"/>
          <w:bCs w:val="0"/>
          <w:sz w:val="32"/>
          <w:szCs w:val="32"/>
          <w:highlight w:val="none"/>
          <w:lang w:val="en-US" w:eastAsia="zh-CN"/>
        </w:rPr>
        <w:t>十四五</w:t>
      </w:r>
      <w:r>
        <w:rPr>
          <w:rFonts w:hint="eastAsia" w:ascii="仿宋_GB2312" w:hAnsi="仿宋_GB2312" w:eastAsia="仿宋_GB2312" w:cs="仿宋_GB2312"/>
          <w:b w:val="0"/>
          <w:bCs w:val="0"/>
          <w:sz w:val="32"/>
          <w:szCs w:val="32"/>
          <w:highlight w:val="none"/>
          <w:lang w:val="en-US" w:eastAsia="zh-CN"/>
        </w:rPr>
        <w:t>”</w:t>
      </w:r>
      <w:r>
        <w:rPr>
          <w:rFonts w:hint="default" w:ascii="Times New Roman" w:hAnsi="Times New Roman" w:eastAsia="仿宋_GB2312" w:cs="Times New Roman"/>
          <w:b w:val="0"/>
          <w:bCs w:val="0"/>
          <w:sz w:val="32"/>
          <w:szCs w:val="32"/>
          <w:highlight w:val="none"/>
          <w:lang w:val="en-US" w:eastAsia="zh-CN"/>
        </w:rPr>
        <w:t>全国城市基础设施建设规划》（建城〔2022〕57号）；</w:t>
      </w:r>
    </w:p>
    <w:p w14:paraId="516CAD42">
      <w:pPr>
        <w:pageBreakBefore w:val="0"/>
        <w:kinsoku/>
        <w:wordWrap/>
        <w:topLinePunct w:val="0"/>
        <w:bidi w:val="0"/>
        <w:spacing w:beforeAutospacing="0" w:afterAutospacing="0" w:line="560" w:lineRule="exact"/>
        <w:ind w:left="0" w:leftChars="0"/>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color w:val="auto"/>
          <w:sz w:val="32"/>
          <w:szCs w:val="32"/>
          <w:highlight w:val="none"/>
          <w:u w:val="none"/>
          <w:lang w:val="en-US" w:eastAsia="zh-CN"/>
        </w:rPr>
        <w:t>《</w:t>
      </w:r>
      <w:r>
        <w:rPr>
          <w:rFonts w:hint="eastAsia" w:ascii="仿宋_GB2312" w:hAnsi="仿宋_GB2312" w:eastAsia="仿宋_GB2312" w:cs="仿宋_GB2312"/>
          <w:color w:val="auto"/>
          <w:spacing w:val="-6"/>
          <w:sz w:val="32"/>
          <w:szCs w:val="32"/>
          <w:highlight w:val="none"/>
          <w:u w:val="none"/>
          <w:lang w:val="en-US" w:eastAsia="zh-CN"/>
        </w:rPr>
        <w:t>“</w:t>
      </w:r>
      <w:r>
        <w:rPr>
          <w:rFonts w:hint="default" w:ascii="Times New Roman" w:hAnsi="Times New Roman" w:eastAsia="仿宋_GB2312" w:cs="Times New Roman"/>
          <w:color w:val="auto"/>
          <w:spacing w:val="-6"/>
          <w:sz w:val="32"/>
          <w:szCs w:val="32"/>
          <w:highlight w:val="none"/>
          <w:u w:val="none"/>
          <w:lang w:val="en-US" w:eastAsia="zh-CN"/>
        </w:rPr>
        <w:t>十四五</w:t>
      </w:r>
      <w:r>
        <w:rPr>
          <w:rFonts w:hint="eastAsia" w:ascii="仿宋_GB2312" w:hAnsi="仿宋_GB2312" w:eastAsia="仿宋_GB2312" w:cs="仿宋_GB2312"/>
          <w:color w:val="auto"/>
          <w:spacing w:val="-6"/>
          <w:sz w:val="32"/>
          <w:szCs w:val="32"/>
          <w:highlight w:val="none"/>
          <w:u w:val="none"/>
          <w:lang w:val="en-US" w:eastAsia="zh-CN"/>
        </w:rPr>
        <w:t>”</w:t>
      </w:r>
      <w:r>
        <w:rPr>
          <w:rFonts w:hint="default" w:ascii="Times New Roman" w:hAnsi="Times New Roman" w:eastAsia="仿宋_GB2312" w:cs="Times New Roman"/>
          <w:color w:val="auto"/>
          <w:spacing w:val="-6"/>
          <w:sz w:val="32"/>
          <w:szCs w:val="32"/>
          <w:highlight w:val="none"/>
          <w:u w:val="none"/>
          <w:lang w:val="en-US" w:eastAsia="zh-CN"/>
        </w:rPr>
        <w:t>循环经济发展规划》</w:t>
      </w:r>
      <w:r>
        <w:rPr>
          <w:rFonts w:hint="eastAsia" w:eastAsia="仿宋_GB2312" w:cs="Times New Roman"/>
          <w:color w:val="auto"/>
          <w:spacing w:val="-6"/>
          <w:sz w:val="32"/>
          <w:szCs w:val="32"/>
          <w:highlight w:val="none"/>
          <w:u w:val="none"/>
          <w:lang w:val="en-US" w:eastAsia="zh-CN"/>
        </w:rPr>
        <w:t>（</w:t>
      </w:r>
      <w:r>
        <w:rPr>
          <w:rFonts w:hint="default" w:ascii="Times New Roman" w:hAnsi="Times New Roman" w:eastAsia="仿宋_GB2312" w:cs="Times New Roman"/>
          <w:color w:val="auto"/>
          <w:spacing w:val="-6"/>
          <w:sz w:val="32"/>
          <w:szCs w:val="32"/>
          <w:highlight w:val="none"/>
          <w:u w:val="none"/>
          <w:lang w:val="en-US" w:eastAsia="zh-CN"/>
        </w:rPr>
        <w:t>发改环资〔2021〕969号</w:t>
      </w:r>
      <w:r>
        <w:rPr>
          <w:rFonts w:hint="eastAsia" w:eastAsia="仿宋_GB2312" w:cs="Times New Roman"/>
          <w:color w:val="auto"/>
          <w:spacing w:val="-6"/>
          <w:sz w:val="32"/>
          <w:szCs w:val="32"/>
          <w:highlight w:val="none"/>
          <w:u w:val="none"/>
          <w:lang w:val="en-US" w:eastAsia="zh-CN"/>
        </w:rPr>
        <w:t>）</w:t>
      </w:r>
      <w:r>
        <w:rPr>
          <w:rFonts w:hint="default" w:ascii="Times New Roman" w:hAnsi="Times New Roman" w:eastAsia="仿宋_GB2312" w:cs="Times New Roman"/>
          <w:color w:val="auto"/>
          <w:spacing w:val="-6"/>
          <w:sz w:val="32"/>
          <w:szCs w:val="32"/>
          <w:highlight w:val="none"/>
          <w:u w:val="none"/>
          <w:lang w:val="en-US" w:eastAsia="zh-CN"/>
        </w:rPr>
        <w:t>；</w:t>
      </w:r>
    </w:p>
    <w:p w14:paraId="51169716">
      <w:pPr>
        <w:pageBreakBefore w:val="0"/>
        <w:kinsoku/>
        <w:wordWrap/>
        <w:topLinePunct w:val="0"/>
        <w:bidi w:val="0"/>
        <w:spacing w:beforeAutospacing="0" w:afterAutospacing="0" w:line="560" w:lineRule="exact"/>
        <w:ind w:left="0" w:leftChars="0"/>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color w:val="auto"/>
          <w:sz w:val="32"/>
          <w:szCs w:val="32"/>
          <w:highlight w:val="none"/>
          <w:u w:val="none"/>
          <w:lang w:val="en-US" w:eastAsia="zh-CN"/>
        </w:rPr>
        <w:t>《住房和城乡建设部国家发展改革委关于印发城乡建设领域碳达峰实施方案的通知》（建标〔2022〕53号）；</w:t>
      </w:r>
    </w:p>
    <w:p w14:paraId="0CFF355B">
      <w:pPr>
        <w:pageBreakBefore w:val="0"/>
        <w:kinsoku/>
        <w:wordWrap/>
        <w:topLinePunct w:val="0"/>
        <w:bidi w:val="0"/>
        <w:spacing w:beforeAutospacing="0" w:afterAutospacing="0" w:line="560" w:lineRule="exact"/>
        <w:ind w:left="0" w:leftChars="0"/>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val="en-US" w:eastAsia="zh-CN"/>
        </w:rPr>
        <w:t>《广西壮族自治区</w:t>
      </w:r>
      <w:r>
        <w:rPr>
          <w:rFonts w:hint="eastAsia" w:ascii="仿宋_GB2312" w:hAnsi="仿宋_GB2312" w:eastAsia="仿宋_GB2312" w:cs="仿宋_GB2312"/>
          <w:color w:val="auto"/>
          <w:sz w:val="32"/>
          <w:szCs w:val="32"/>
          <w:u w:val="none"/>
          <w:lang w:val="en-US" w:eastAsia="zh-CN"/>
        </w:rPr>
        <w:t>“</w:t>
      </w:r>
      <w:r>
        <w:rPr>
          <w:rFonts w:hint="default" w:ascii="Times New Roman" w:hAnsi="Times New Roman" w:eastAsia="仿宋_GB2312" w:cs="Times New Roman"/>
          <w:color w:val="auto"/>
          <w:sz w:val="32"/>
          <w:szCs w:val="32"/>
          <w:u w:val="none"/>
          <w:lang w:val="en-US" w:eastAsia="zh-CN"/>
        </w:rPr>
        <w:t>十四五</w:t>
      </w:r>
      <w:r>
        <w:rPr>
          <w:rFonts w:hint="eastAsia" w:ascii="仿宋_GB2312" w:hAnsi="仿宋_GB2312" w:eastAsia="仿宋_GB2312" w:cs="仿宋_GB2312"/>
          <w:color w:val="auto"/>
          <w:sz w:val="32"/>
          <w:szCs w:val="32"/>
          <w:u w:val="none"/>
          <w:lang w:val="en-US" w:eastAsia="zh-CN"/>
        </w:rPr>
        <w:t>”</w:t>
      </w:r>
      <w:r>
        <w:rPr>
          <w:rFonts w:hint="default" w:ascii="Times New Roman" w:hAnsi="Times New Roman" w:eastAsia="仿宋_GB2312" w:cs="Times New Roman"/>
          <w:color w:val="auto"/>
          <w:sz w:val="32"/>
          <w:szCs w:val="32"/>
          <w:u w:val="none"/>
          <w:lang w:val="en-US" w:eastAsia="zh-CN"/>
        </w:rPr>
        <w:t>城市基础设施建设规划》</w:t>
      </w:r>
      <w:r>
        <w:rPr>
          <w:rFonts w:hint="eastAsia" w:ascii="Times New Roman" w:hAnsi="Times New Roman" w:eastAsia="仿宋_GB2312" w:cs="Times New Roman"/>
          <w:color w:val="auto"/>
          <w:sz w:val="32"/>
          <w:szCs w:val="32"/>
          <w:u w:val="none"/>
          <w:lang w:val="en-US" w:eastAsia="zh-CN"/>
        </w:rPr>
        <w:t>。</w:t>
      </w:r>
    </w:p>
    <w:p w14:paraId="4C0C9C21">
      <w:pPr>
        <w:pageBreakBefore w:val="0"/>
        <w:kinsoku/>
        <w:wordWrap/>
        <w:topLinePunct w:val="0"/>
        <w:bidi w:val="0"/>
        <w:spacing w:beforeAutospacing="0" w:afterAutospacing="0" w:line="560" w:lineRule="exact"/>
        <w:ind w:left="0" w:leftChars="0"/>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color w:val="auto"/>
          <w:sz w:val="32"/>
          <w:szCs w:val="32"/>
          <w:highlight w:val="none"/>
          <w:u w:val="none"/>
          <w:lang w:val="en-US" w:eastAsia="zh-CN"/>
        </w:rPr>
        <w:t>3</w:t>
      </w:r>
      <w:r>
        <w:rPr>
          <w:rFonts w:hint="eastAsia" w:eastAsia="仿宋_GB2312" w:cs="Times New Roman"/>
          <w:color w:val="auto"/>
          <w:sz w:val="32"/>
          <w:szCs w:val="32"/>
          <w:highlight w:val="none"/>
          <w:u w:val="none"/>
          <w:lang w:val="en-US" w:eastAsia="zh-CN"/>
        </w:rPr>
        <w:t>．</w:t>
      </w:r>
      <w:r>
        <w:rPr>
          <w:rFonts w:hint="default" w:ascii="Times New Roman" w:hAnsi="Times New Roman" w:eastAsia="仿宋_GB2312" w:cs="Times New Roman"/>
          <w:color w:val="auto"/>
          <w:sz w:val="32"/>
          <w:szCs w:val="32"/>
          <w:highlight w:val="none"/>
          <w:u w:val="none"/>
          <w:lang w:val="en-US" w:eastAsia="zh-CN"/>
        </w:rPr>
        <w:t>规范标准</w:t>
      </w:r>
    </w:p>
    <w:p w14:paraId="1F4DB717">
      <w:pPr>
        <w:pageBreakBefore w:val="0"/>
        <w:kinsoku/>
        <w:wordWrap/>
        <w:topLinePunct w:val="0"/>
        <w:bidi w:val="0"/>
        <w:spacing w:beforeAutospacing="0" w:afterAutospacing="0" w:line="560" w:lineRule="exact"/>
        <w:ind w:left="0" w:leftChars="0"/>
        <w:rPr>
          <w:rFonts w:hint="default" w:ascii="Times New Roman" w:hAnsi="Times New Roman" w:eastAsia="仿宋_GB2312" w:cs="Times New Roman"/>
          <w:color w:val="auto"/>
          <w:sz w:val="32"/>
          <w:szCs w:val="32"/>
          <w:u w:val="none"/>
          <w:lang w:val="en-US" w:eastAsia="zh-CN"/>
        </w:rPr>
      </w:pPr>
      <w:bookmarkStart w:id="15" w:name="_Toc22804"/>
      <w:r>
        <w:rPr>
          <w:rFonts w:hint="default" w:ascii="Times New Roman" w:hAnsi="Times New Roman" w:eastAsia="仿宋_GB2312" w:cs="Times New Roman"/>
          <w:color w:val="auto"/>
          <w:sz w:val="32"/>
          <w:szCs w:val="32"/>
          <w:u w:val="none"/>
          <w:lang w:val="en-US" w:eastAsia="zh-CN"/>
        </w:rPr>
        <w:t>《城市环境卫生设施规划标准》（GB/T</w:t>
      </w:r>
      <w:r>
        <w:rPr>
          <w:rFonts w:hint="eastAsia" w:eastAsia="仿宋_GB2312" w:cs="Times New Roman"/>
          <w:color w:val="auto"/>
          <w:sz w:val="32"/>
          <w:szCs w:val="32"/>
          <w:u w:val="none"/>
          <w:lang w:val="en-US" w:eastAsia="zh-CN"/>
        </w:rPr>
        <w:t xml:space="preserve"> </w:t>
      </w:r>
      <w:r>
        <w:rPr>
          <w:rFonts w:hint="default" w:ascii="Times New Roman" w:hAnsi="Times New Roman" w:eastAsia="仿宋_GB2312" w:cs="Times New Roman"/>
          <w:color w:val="auto"/>
          <w:sz w:val="32"/>
          <w:szCs w:val="32"/>
          <w:u w:val="none"/>
          <w:lang w:val="en-US" w:eastAsia="zh-CN"/>
        </w:rPr>
        <w:t>50337</w:t>
      </w:r>
      <w:r>
        <w:rPr>
          <w:rFonts w:hint="eastAsia" w:eastAsia="仿宋_GB2312" w:cs="Times New Roman"/>
          <w:color w:val="auto"/>
          <w:sz w:val="32"/>
          <w:szCs w:val="32"/>
          <w:u w:val="none"/>
          <w:lang w:val="en-US" w:eastAsia="zh-CN"/>
        </w:rPr>
        <w:t>—</w:t>
      </w:r>
      <w:r>
        <w:rPr>
          <w:rFonts w:hint="default" w:ascii="Times New Roman" w:hAnsi="Times New Roman" w:eastAsia="仿宋_GB2312" w:cs="Times New Roman"/>
          <w:color w:val="auto"/>
          <w:sz w:val="32"/>
          <w:szCs w:val="32"/>
          <w:u w:val="none"/>
          <w:lang w:val="en-US" w:eastAsia="zh-CN"/>
        </w:rPr>
        <w:t>2018）；</w:t>
      </w:r>
    </w:p>
    <w:p w14:paraId="34679083">
      <w:pPr>
        <w:pageBreakBefore w:val="0"/>
        <w:kinsoku/>
        <w:wordWrap/>
        <w:topLinePunct w:val="0"/>
        <w:bidi w:val="0"/>
        <w:spacing w:beforeAutospacing="0" w:afterAutospacing="0" w:line="560" w:lineRule="exact"/>
        <w:ind w:left="0" w:leftChars="0"/>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val="en-US" w:eastAsia="zh-CN"/>
        </w:rPr>
        <w:t>《环境卫生设施设置标准》（CJJ 27</w:t>
      </w:r>
      <w:r>
        <w:rPr>
          <w:rFonts w:hint="eastAsia" w:eastAsia="仿宋_GB2312" w:cs="Times New Roman"/>
          <w:color w:val="auto"/>
          <w:sz w:val="32"/>
          <w:szCs w:val="32"/>
          <w:u w:val="none"/>
          <w:lang w:val="en-US" w:eastAsia="zh-CN"/>
        </w:rPr>
        <w:t>—</w:t>
      </w:r>
      <w:r>
        <w:rPr>
          <w:rFonts w:hint="default" w:ascii="Times New Roman" w:hAnsi="Times New Roman" w:eastAsia="仿宋_GB2312" w:cs="Times New Roman"/>
          <w:color w:val="auto"/>
          <w:sz w:val="32"/>
          <w:szCs w:val="32"/>
          <w:u w:val="none"/>
          <w:lang w:val="en-US" w:eastAsia="zh-CN"/>
        </w:rPr>
        <w:t>2012）；</w:t>
      </w:r>
    </w:p>
    <w:p w14:paraId="0C198F64">
      <w:pPr>
        <w:pageBreakBefore w:val="0"/>
        <w:kinsoku/>
        <w:wordWrap/>
        <w:topLinePunct w:val="0"/>
        <w:bidi w:val="0"/>
        <w:spacing w:beforeAutospacing="0" w:afterAutospacing="0" w:line="560" w:lineRule="exact"/>
        <w:ind w:left="0" w:leftChars="0"/>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val="en-US" w:eastAsia="zh-CN"/>
        </w:rPr>
        <w:t>《建筑垃圾处理技术标准》（CJJ/T 134</w:t>
      </w:r>
      <w:r>
        <w:rPr>
          <w:rFonts w:hint="eastAsia" w:eastAsia="仿宋_GB2312" w:cs="Times New Roman"/>
          <w:color w:val="auto"/>
          <w:sz w:val="32"/>
          <w:szCs w:val="32"/>
          <w:u w:val="none"/>
          <w:lang w:val="en-US" w:eastAsia="zh-CN"/>
        </w:rPr>
        <w:t>—</w:t>
      </w:r>
      <w:r>
        <w:rPr>
          <w:rFonts w:hint="default" w:ascii="Times New Roman" w:hAnsi="Times New Roman" w:eastAsia="仿宋_GB2312" w:cs="Times New Roman"/>
          <w:color w:val="auto"/>
          <w:sz w:val="32"/>
          <w:szCs w:val="32"/>
          <w:u w:val="none"/>
          <w:lang w:val="en-US" w:eastAsia="zh-CN"/>
        </w:rPr>
        <w:t>2019）；</w:t>
      </w:r>
    </w:p>
    <w:p w14:paraId="1FFD777B">
      <w:pPr>
        <w:pageBreakBefore w:val="0"/>
        <w:kinsoku/>
        <w:wordWrap/>
        <w:topLinePunct w:val="0"/>
        <w:bidi w:val="0"/>
        <w:spacing w:beforeAutospacing="0" w:afterAutospacing="0" w:line="560" w:lineRule="exact"/>
        <w:ind w:left="0" w:leftChars="0"/>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val="en-US" w:eastAsia="zh-CN"/>
        </w:rPr>
        <w:t>《生活垃圾处理处置工程项目规范》（GB55012</w:t>
      </w:r>
      <w:r>
        <w:rPr>
          <w:rFonts w:hint="eastAsia" w:eastAsia="仿宋_GB2312" w:cs="Times New Roman"/>
          <w:color w:val="auto"/>
          <w:sz w:val="32"/>
          <w:szCs w:val="32"/>
          <w:u w:val="none"/>
          <w:lang w:val="en-US" w:eastAsia="zh-CN"/>
        </w:rPr>
        <w:t>—</w:t>
      </w:r>
      <w:r>
        <w:rPr>
          <w:rFonts w:hint="default" w:ascii="Times New Roman" w:hAnsi="Times New Roman" w:eastAsia="仿宋_GB2312" w:cs="Times New Roman"/>
          <w:color w:val="auto"/>
          <w:sz w:val="32"/>
          <w:szCs w:val="32"/>
          <w:u w:val="none"/>
          <w:lang w:val="en-US" w:eastAsia="zh-CN"/>
        </w:rPr>
        <w:t>2021）；</w:t>
      </w:r>
    </w:p>
    <w:p w14:paraId="4FA1C4F2">
      <w:pPr>
        <w:pageBreakBefore w:val="0"/>
        <w:kinsoku/>
        <w:wordWrap/>
        <w:topLinePunct w:val="0"/>
        <w:bidi w:val="0"/>
        <w:spacing w:beforeAutospacing="0" w:afterAutospacing="0" w:line="560" w:lineRule="exact"/>
        <w:ind w:left="0" w:leftChars="0"/>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val="en-US" w:eastAsia="zh-CN"/>
        </w:rPr>
        <w:t>《固定式建筑垃圾处置技术规程》（JC/T 2546</w:t>
      </w:r>
      <w:r>
        <w:rPr>
          <w:rFonts w:hint="eastAsia" w:eastAsia="仿宋_GB2312" w:cs="Times New Roman"/>
          <w:color w:val="auto"/>
          <w:sz w:val="32"/>
          <w:szCs w:val="32"/>
          <w:u w:val="none"/>
          <w:lang w:val="en-US" w:eastAsia="zh-CN"/>
        </w:rPr>
        <w:t>—</w:t>
      </w:r>
      <w:r>
        <w:rPr>
          <w:rFonts w:hint="default" w:ascii="Times New Roman" w:hAnsi="Times New Roman" w:eastAsia="仿宋_GB2312" w:cs="Times New Roman"/>
          <w:color w:val="auto"/>
          <w:sz w:val="32"/>
          <w:szCs w:val="32"/>
          <w:u w:val="none"/>
          <w:lang w:val="en-US" w:eastAsia="zh-CN"/>
        </w:rPr>
        <w:t>2019）；</w:t>
      </w:r>
    </w:p>
    <w:p w14:paraId="1EB6A1BC">
      <w:pPr>
        <w:pageBreakBefore w:val="0"/>
        <w:kinsoku/>
        <w:wordWrap/>
        <w:topLinePunct w:val="0"/>
        <w:bidi w:val="0"/>
        <w:spacing w:beforeAutospacing="0" w:afterAutospacing="0" w:line="560" w:lineRule="exact"/>
        <w:ind w:left="0" w:leftChars="0"/>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val="en-US" w:eastAsia="zh-CN"/>
        </w:rPr>
        <w:t>《再生资源绿色分拣中心建设管理规范》（SB/T 10720</w:t>
      </w:r>
      <w:r>
        <w:rPr>
          <w:rFonts w:hint="eastAsia" w:eastAsia="仿宋_GB2312" w:cs="Times New Roman"/>
          <w:color w:val="auto"/>
          <w:sz w:val="32"/>
          <w:szCs w:val="32"/>
          <w:u w:val="none"/>
          <w:lang w:val="en-US" w:eastAsia="zh-CN"/>
        </w:rPr>
        <w:t>—</w:t>
      </w:r>
      <w:r>
        <w:rPr>
          <w:rFonts w:hint="default" w:ascii="Times New Roman" w:hAnsi="Times New Roman" w:eastAsia="仿宋_GB2312" w:cs="Times New Roman"/>
          <w:color w:val="auto"/>
          <w:sz w:val="32"/>
          <w:szCs w:val="32"/>
          <w:u w:val="none"/>
          <w:lang w:val="en-US" w:eastAsia="zh-CN"/>
        </w:rPr>
        <w:t>2021）；</w:t>
      </w:r>
    </w:p>
    <w:p w14:paraId="5C9F637A">
      <w:pPr>
        <w:pageBreakBefore w:val="0"/>
        <w:kinsoku/>
        <w:wordWrap/>
        <w:topLinePunct w:val="0"/>
        <w:bidi w:val="0"/>
        <w:spacing w:beforeAutospacing="0" w:afterAutospacing="0" w:line="560" w:lineRule="exact"/>
        <w:ind w:left="0" w:leftChars="0"/>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val="en-US" w:eastAsia="zh-CN"/>
        </w:rPr>
        <w:t>《建筑废弃物再生工厂设计标准》（GB/T 51322</w:t>
      </w:r>
      <w:r>
        <w:rPr>
          <w:rFonts w:hint="eastAsia" w:eastAsia="仿宋_GB2312" w:cs="Times New Roman"/>
          <w:color w:val="auto"/>
          <w:sz w:val="32"/>
          <w:szCs w:val="32"/>
          <w:u w:val="none"/>
          <w:lang w:val="en-US" w:eastAsia="zh-CN"/>
        </w:rPr>
        <w:t>—</w:t>
      </w:r>
      <w:r>
        <w:rPr>
          <w:rFonts w:hint="default" w:ascii="Times New Roman" w:hAnsi="Times New Roman" w:eastAsia="仿宋_GB2312" w:cs="Times New Roman"/>
          <w:color w:val="auto"/>
          <w:sz w:val="32"/>
          <w:szCs w:val="32"/>
          <w:u w:val="none"/>
          <w:lang w:val="en-US" w:eastAsia="zh-CN"/>
        </w:rPr>
        <w:t>2018）；</w:t>
      </w:r>
    </w:p>
    <w:p w14:paraId="50416C44">
      <w:pPr>
        <w:pageBreakBefore w:val="0"/>
        <w:kinsoku/>
        <w:wordWrap/>
        <w:topLinePunct w:val="0"/>
        <w:bidi w:val="0"/>
        <w:spacing w:beforeAutospacing="0" w:afterAutospacing="0" w:line="560" w:lineRule="exact"/>
        <w:ind w:left="0" w:leftChars="0"/>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val="en-US" w:eastAsia="zh-CN"/>
        </w:rPr>
        <w:t>其他相关标准、规范。</w:t>
      </w:r>
    </w:p>
    <w:p w14:paraId="6851281D">
      <w:pPr>
        <w:pStyle w:val="3"/>
        <w:pageBreakBefore w:val="0"/>
        <w:kinsoku/>
        <w:wordWrap/>
        <w:topLinePunct w:val="0"/>
        <w:bidi w:val="0"/>
        <w:spacing w:beforeAutospacing="0" w:afterAutospacing="0" w:line="560" w:lineRule="exact"/>
        <w:ind w:left="0" w:leftChars="0" w:firstLine="640" w:firstLineChars="200"/>
        <w:rPr>
          <w:rFonts w:hint="default" w:ascii="楷体_GB2312" w:hAnsi="楷体_GB2312" w:eastAsia="楷体_GB2312" w:cs="楷体_GB2312"/>
          <w:b w:val="0"/>
          <w:bCs w:val="0"/>
          <w:color w:val="auto"/>
          <w:sz w:val="32"/>
          <w:szCs w:val="32"/>
          <w:highlight w:val="none"/>
          <w:u w:val="none"/>
          <w:lang w:val="en-US" w:eastAsia="zh-CN"/>
        </w:rPr>
      </w:pPr>
      <w:bookmarkStart w:id="16" w:name="_Toc32286"/>
      <w:bookmarkStart w:id="17" w:name="_Toc10369"/>
      <w:r>
        <w:rPr>
          <w:rFonts w:hint="eastAsia" w:ascii="楷体_GB2312" w:hAnsi="楷体_GB2312" w:eastAsia="楷体_GB2312" w:cs="楷体_GB2312"/>
          <w:b w:val="0"/>
          <w:bCs w:val="0"/>
          <w:color w:val="auto"/>
          <w:sz w:val="32"/>
          <w:szCs w:val="32"/>
          <w:highlight w:val="none"/>
          <w:u w:val="none"/>
          <w:lang w:val="en-US" w:eastAsia="zh-CN"/>
        </w:rPr>
        <w:t>（五）</w:t>
      </w:r>
      <w:r>
        <w:rPr>
          <w:rFonts w:hint="default" w:ascii="楷体_GB2312" w:hAnsi="楷体_GB2312" w:eastAsia="楷体_GB2312" w:cs="楷体_GB2312"/>
          <w:b w:val="0"/>
          <w:bCs w:val="0"/>
          <w:color w:val="auto"/>
          <w:sz w:val="32"/>
          <w:szCs w:val="32"/>
          <w:highlight w:val="none"/>
          <w:u w:val="none"/>
          <w:lang w:val="en-US" w:eastAsia="zh-CN"/>
        </w:rPr>
        <w:t>规划对象</w:t>
      </w:r>
      <w:bookmarkEnd w:id="15"/>
      <w:bookmarkEnd w:id="16"/>
      <w:bookmarkEnd w:id="17"/>
    </w:p>
    <w:p w14:paraId="0B3A4774">
      <w:pPr>
        <w:pageBreakBefore w:val="0"/>
        <w:kinsoku/>
        <w:wordWrap/>
        <w:topLinePunct w:val="0"/>
        <w:bidi w:val="0"/>
        <w:spacing w:beforeAutospacing="0" w:afterAutospacing="0" w:line="560" w:lineRule="exact"/>
        <w:ind w:left="0" w:leftChars="0"/>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val="en-US" w:eastAsia="zh-CN"/>
        </w:rPr>
        <w:t>根据《建筑垃圾处理技术标准》，</w:t>
      </w:r>
      <w:r>
        <w:rPr>
          <w:rFonts w:hint="eastAsia" w:ascii="Times New Roman" w:hAnsi="Times New Roman" w:eastAsia="仿宋_GB2312" w:cs="Times New Roman"/>
          <w:color w:val="auto"/>
          <w:sz w:val="32"/>
          <w:szCs w:val="32"/>
          <w:u w:val="none"/>
          <w:lang w:val="en-US" w:eastAsia="zh-CN"/>
        </w:rPr>
        <w:t>《工作</w:t>
      </w:r>
      <w:r>
        <w:rPr>
          <w:rFonts w:hint="default" w:ascii="Times New Roman" w:hAnsi="Times New Roman" w:eastAsia="仿宋_GB2312" w:cs="Times New Roman"/>
          <w:color w:val="auto"/>
          <w:sz w:val="32"/>
          <w:szCs w:val="32"/>
          <w:u w:val="none"/>
          <w:lang w:val="en-US" w:eastAsia="zh-CN"/>
        </w:rPr>
        <w:t>规划</w:t>
      </w:r>
      <w:r>
        <w:rPr>
          <w:rFonts w:hint="eastAsia" w:ascii="Times New Roman" w:hAnsi="Times New Roman" w:eastAsia="仿宋_GB2312" w:cs="Times New Roman"/>
          <w:color w:val="auto"/>
          <w:sz w:val="32"/>
          <w:szCs w:val="32"/>
          <w:u w:val="none"/>
          <w:lang w:val="en-US" w:eastAsia="zh-CN"/>
        </w:rPr>
        <w:t>》</w:t>
      </w:r>
      <w:r>
        <w:rPr>
          <w:rFonts w:hint="default" w:ascii="Times New Roman" w:hAnsi="Times New Roman" w:eastAsia="仿宋_GB2312" w:cs="Times New Roman"/>
          <w:color w:val="auto"/>
          <w:sz w:val="32"/>
          <w:szCs w:val="32"/>
          <w:u w:val="none"/>
          <w:lang w:val="en-US" w:eastAsia="zh-CN"/>
        </w:rPr>
        <w:t>涉及的建筑垃圾是工程渣土、工程泥浆、工程垃圾、拆除垃圾和装修垃圾等的总称。包括新建、扩建、改建和拆除各类建筑物、构筑物、管网等</w:t>
      </w:r>
      <w:r>
        <w:rPr>
          <w:rFonts w:hint="eastAsia" w:eastAsia="仿宋_GB2312" w:cs="Times New Roman"/>
          <w:color w:val="auto"/>
          <w:sz w:val="32"/>
          <w:szCs w:val="32"/>
          <w:u w:val="none"/>
          <w:lang w:val="en-US" w:eastAsia="zh-CN"/>
        </w:rPr>
        <w:t>，</w:t>
      </w:r>
      <w:r>
        <w:rPr>
          <w:rFonts w:hint="default" w:ascii="Times New Roman" w:hAnsi="Times New Roman" w:eastAsia="仿宋_GB2312" w:cs="Times New Roman"/>
          <w:color w:val="auto"/>
          <w:sz w:val="32"/>
          <w:szCs w:val="32"/>
          <w:u w:val="none"/>
          <w:lang w:val="en-US" w:eastAsia="zh-CN"/>
        </w:rPr>
        <w:t>以及居民装饰装修房屋过程中产生的弃土、弃料及其他废弃物，不包括经检验、鉴定为危险废物的建筑垃圾。</w:t>
      </w:r>
    </w:p>
    <w:p w14:paraId="38B7D0F8">
      <w:pPr>
        <w:pageBreakBefore w:val="0"/>
        <w:kinsoku/>
        <w:wordWrap/>
        <w:topLinePunct w:val="0"/>
        <w:bidi w:val="0"/>
        <w:spacing w:beforeAutospacing="0" w:afterAutospacing="0" w:line="560" w:lineRule="exact"/>
        <w:ind w:left="0" w:leftChars="0"/>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b/>
          <w:bCs/>
          <w:color w:val="auto"/>
          <w:sz w:val="32"/>
          <w:szCs w:val="32"/>
          <w:u w:val="none"/>
          <w:lang w:val="en-US" w:eastAsia="zh-CN"/>
        </w:rPr>
        <w:t>工程渣土</w:t>
      </w:r>
      <w:r>
        <w:rPr>
          <w:rFonts w:hint="default" w:ascii="Times New Roman" w:hAnsi="Times New Roman" w:eastAsia="仿宋_GB2312" w:cs="Times New Roman"/>
          <w:color w:val="auto"/>
          <w:sz w:val="32"/>
          <w:szCs w:val="32"/>
          <w:u w:val="none"/>
          <w:lang w:val="en-US" w:eastAsia="zh-CN"/>
        </w:rPr>
        <w:t>。各类建筑物、构筑物、管网、道桥等在建设过程中开挖土石方产生的弃土。</w:t>
      </w:r>
    </w:p>
    <w:p w14:paraId="18E93818">
      <w:pPr>
        <w:pageBreakBefore w:val="0"/>
        <w:kinsoku/>
        <w:wordWrap/>
        <w:topLinePunct w:val="0"/>
        <w:bidi w:val="0"/>
        <w:spacing w:beforeAutospacing="0" w:afterAutospacing="0" w:line="560" w:lineRule="exact"/>
        <w:ind w:left="0" w:leftChars="0"/>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b/>
          <w:bCs/>
          <w:color w:val="auto"/>
          <w:sz w:val="32"/>
          <w:szCs w:val="32"/>
          <w:u w:val="none"/>
          <w:lang w:val="en-US" w:eastAsia="zh-CN"/>
        </w:rPr>
        <w:t>工程泥浆</w:t>
      </w:r>
      <w:r>
        <w:rPr>
          <w:rFonts w:hint="default" w:ascii="Times New Roman" w:hAnsi="Times New Roman" w:eastAsia="仿宋_GB2312" w:cs="Times New Roman"/>
          <w:color w:val="auto"/>
          <w:sz w:val="32"/>
          <w:szCs w:val="32"/>
          <w:u w:val="none"/>
          <w:lang w:val="en-US" w:eastAsia="zh-CN"/>
        </w:rPr>
        <w:t>。钻孔桩基施工、地下连续墙施工、泥水盾构施工、水平定向钻及泥水顶管等施工产生的泥浆。</w:t>
      </w:r>
    </w:p>
    <w:p w14:paraId="633B3FCA">
      <w:pPr>
        <w:pageBreakBefore w:val="0"/>
        <w:kinsoku/>
        <w:wordWrap/>
        <w:topLinePunct w:val="0"/>
        <w:bidi w:val="0"/>
        <w:spacing w:beforeAutospacing="0" w:afterAutospacing="0" w:line="560" w:lineRule="exact"/>
        <w:ind w:left="0" w:leftChars="0"/>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b/>
          <w:bCs/>
          <w:color w:val="auto"/>
          <w:sz w:val="32"/>
          <w:szCs w:val="32"/>
          <w:u w:val="none"/>
          <w:lang w:val="en-US" w:eastAsia="zh-CN"/>
        </w:rPr>
        <w:t>工程垃圾</w:t>
      </w:r>
      <w:r>
        <w:rPr>
          <w:rFonts w:hint="default" w:ascii="Times New Roman" w:hAnsi="Times New Roman" w:eastAsia="仿宋_GB2312" w:cs="Times New Roman"/>
          <w:color w:val="auto"/>
          <w:sz w:val="32"/>
          <w:szCs w:val="32"/>
          <w:u w:val="none"/>
          <w:lang w:val="en-US" w:eastAsia="zh-CN"/>
        </w:rPr>
        <w:t>。各类建筑物、构筑物、管网、道桥等在新建、改建、扩建过程中产生的混凝土、沥青混合料、砂浆、模板等弃料。</w:t>
      </w:r>
    </w:p>
    <w:p w14:paraId="04B7E241">
      <w:pPr>
        <w:pageBreakBefore w:val="0"/>
        <w:kinsoku/>
        <w:wordWrap/>
        <w:topLinePunct w:val="0"/>
        <w:bidi w:val="0"/>
        <w:spacing w:beforeAutospacing="0" w:afterAutospacing="0" w:line="560" w:lineRule="exact"/>
        <w:ind w:left="0" w:leftChars="0"/>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b/>
          <w:bCs/>
          <w:color w:val="auto"/>
          <w:sz w:val="32"/>
          <w:szCs w:val="32"/>
          <w:u w:val="none"/>
          <w:lang w:val="en-US" w:eastAsia="zh-CN"/>
        </w:rPr>
        <w:t>拆除垃圾</w:t>
      </w:r>
      <w:r>
        <w:rPr>
          <w:rFonts w:hint="default" w:ascii="Times New Roman" w:hAnsi="Times New Roman" w:eastAsia="仿宋_GB2312" w:cs="Times New Roman"/>
          <w:color w:val="auto"/>
          <w:sz w:val="32"/>
          <w:szCs w:val="32"/>
          <w:u w:val="none"/>
          <w:lang w:val="en-US" w:eastAsia="zh-CN"/>
        </w:rPr>
        <w:t>。各类建筑物、构筑物、管网、道桥等在拆除过程中产生的混凝土、砂浆、砖瓦、陶瓷、石材、金属、木材等废弃物。</w:t>
      </w:r>
    </w:p>
    <w:p w14:paraId="075B4E4A">
      <w:pPr>
        <w:pageBreakBefore w:val="0"/>
        <w:kinsoku/>
        <w:wordWrap/>
        <w:topLinePunct w:val="0"/>
        <w:bidi w:val="0"/>
        <w:spacing w:beforeAutospacing="0" w:afterAutospacing="0" w:line="560" w:lineRule="exact"/>
        <w:ind w:left="0" w:leftChars="0"/>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b/>
          <w:bCs/>
          <w:color w:val="auto"/>
          <w:sz w:val="32"/>
          <w:szCs w:val="32"/>
          <w:u w:val="none"/>
          <w:lang w:val="en-US" w:eastAsia="zh-CN"/>
        </w:rPr>
        <w:t>装修垃圾</w:t>
      </w:r>
      <w:r>
        <w:rPr>
          <w:rFonts w:hint="default" w:ascii="Times New Roman" w:hAnsi="Times New Roman" w:eastAsia="仿宋_GB2312" w:cs="Times New Roman"/>
          <w:color w:val="auto"/>
          <w:sz w:val="32"/>
          <w:szCs w:val="32"/>
          <w:u w:val="none"/>
          <w:lang w:val="en-US" w:eastAsia="zh-CN"/>
        </w:rPr>
        <w:t>。房屋装饰装修过程中产生的混凝土、砂浆、砖瓦、陶瓷、石材、石膏、加气混凝土砌块、金属、木材、玻璃和塑料等废弃物。</w:t>
      </w:r>
    </w:p>
    <w:p w14:paraId="7F29D15E">
      <w:pPr>
        <w:pStyle w:val="3"/>
        <w:pageBreakBefore w:val="0"/>
        <w:kinsoku/>
        <w:wordWrap/>
        <w:topLinePunct w:val="0"/>
        <w:bidi w:val="0"/>
        <w:spacing w:beforeAutospacing="0" w:afterAutospacing="0" w:line="560" w:lineRule="exact"/>
        <w:ind w:left="0" w:leftChars="0" w:firstLine="640" w:firstLineChars="200"/>
        <w:rPr>
          <w:rFonts w:hint="default" w:ascii="楷体_GB2312" w:hAnsi="楷体_GB2312" w:eastAsia="楷体_GB2312" w:cs="楷体_GB2312"/>
          <w:b w:val="0"/>
          <w:bCs w:val="0"/>
          <w:color w:val="auto"/>
          <w:sz w:val="32"/>
          <w:szCs w:val="32"/>
          <w:highlight w:val="none"/>
          <w:u w:val="none"/>
          <w:lang w:val="en-US" w:eastAsia="zh-CN"/>
        </w:rPr>
      </w:pPr>
      <w:bookmarkStart w:id="18" w:name="_Toc23361"/>
      <w:bookmarkStart w:id="19" w:name="_Toc5193"/>
      <w:bookmarkStart w:id="20" w:name="_Toc4646"/>
      <w:r>
        <w:rPr>
          <w:rFonts w:hint="eastAsia" w:ascii="楷体_GB2312" w:hAnsi="楷体_GB2312" w:eastAsia="楷体_GB2312" w:cs="楷体_GB2312"/>
          <w:b w:val="0"/>
          <w:bCs w:val="0"/>
          <w:color w:val="auto"/>
          <w:sz w:val="32"/>
          <w:szCs w:val="32"/>
          <w:highlight w:val="none"/>
          <w:u w:val="none"/>
          <w:lang w:val="en-US" w:eastAsia="zh-CN"/>
        </w:rPr>
        <w:t>（六）</w:t>
      </w:r>
      <w:r>
        <w:rPr>
          <w:rFonts w:hint="default" w:ascii="楷体_GB2312" w:hAnsi="楷体_GB2312" w:eastAsia="楷体_GB2312" w:cs="楷体_GB2312"/>
          <w:b w:val="0"/>
          <w:bCs w:val="0"/>
          <w:color w:val="auto"/>
          <w:sz w:val="32"/>
          <w:szCs w:val="32"/>
          <w:highlight w:val="none"/>
          <w:u w:val="none"/>
          <w:lang w:val="en-US" w:eastAsia="zh-CN"/>
        </w:rPr>
        <w:t>规划范围和期限</w:t>
      </w:r>
      <w:bookmarkEnd w:id="18"/>
      <w:bookmarkEnd w:id="19"/>
      <w:bookmarkEnd w:id="20"/>
    </w:p>
    <w:p w14:paraId="7CCC9B74">
      <w:pPr>
        <w:pageBreakBefore w:val="0"/>
        <w:kinsoku/>
        <w:wordWrap/>
        <w:topLinePunct w:val="0"/>
        <w:bidi w:val="0"/>
        <w:spacing w:beforeAutospacing="0" w:afterAutospacing="0" w:line="560" w:lineRule="exact"/>
        <w:ind w:left="0" w:leftChars="0"/>
        <w:rPr>
          <w:rFonts w:hint="default" w:ascii="Times New Roman" w:hAnsi="Times New Roman" w:eastAsia="仿宋_GB2312" w:cs="Times New Roman"/>
          <w:color w:val="auto"/>
          <w:sz w:val="32"/>
          <w:szCs w:val="32"/>
          <w:highlight w:val="cyan"/>
          <w:u w:val="none"/>
          <w:lang w:val="en-US" w:eastAsia="zh-CN"/>
        </w:rPr>
      </w:pPr>
      <w:r>
        <w:rPr>
          <w:rFonts w:hint="default" w:ascii="Times New Roman" w:hAnsi="Times New Roman" w:eastAsia="仿宋_GB2312" w:cs="Times New Roman"/>
          <w:color w:val="auto"/>
          <w:sz w:val="32"/>
          <w:szCs w:val="32"/>
          <w:u w:val="none"/>
          <w:lang w:val="en-US" w:eastAsia="zh-CN"/>
        </w:rPr>
        <w:t>本规划范围为融安县</w:t>
      </w:r>
      <w:r>
        <w:rPr>
          <w:rFonts w:hint="default" w:ascii="Times New Roman" w:hAnsi="Times New Roman" w:eastAsia="仿宋_GB2312" w:cs="Times New Roman"/>
          <w:color w:val="auto"/>
          <w:sz w:val="32"/>
          <w:szCs w:val="32"/>
          <w:highlight w:val="none"/>
          <w:u w:val="none"/>
          <w:lang w:val="en-US" w:eastAsia="zh-CN"/>
        </w:rPr>
        <w:t>中心城区，中心城区包括主城区（长安镇镇区）和浮石片区（浮石镇镇区）。对其他乡镇主要为指导性规划。</w:t>
      </w:r>
    </w:p>
    <w:p w14:paraId="60D06ADC">
      <w:pPr>
        <w:pageBreakBefore w:val="0"/>
        <w:kinsoku/>
        <w:wordWrap/>
        <w:topLinePunct w:val="0"/>
        <w:bidi w:val="0"/>
        <w:spacing w:beforeAutospacing="0" w:afterAutospacing="0" w:line="560" w:lineRule="exact"/>
        <w:ind w:left="0" w:leftChars="0" w:firstLine="640" w:firstLineChars="200"/>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color w:val="auto"/>
          <w:sz w:val="32"/>
          <w:szCs w:val="32"/>
          <w:u w:val="none"/>
          <w:lang w:val="en-US" w:eastAsia="zh-CN"/>
        </w:rPr>
        <w:t>规划期限为2024</w:t>
      </w:r>
      <w:r>
        <w:rPr>
          <w:rFonts w:hint="eastAsia" w:ascii="Times New Roman" w:hAnsi="Times New Roman" w:eastAsia="仿宋_GB2312" w:cs="Times New Roman"/>
          <w:color w:val="auto"/>
          <w:sz w:val="32"/>
          <w:szCs w:val="32"/>
          <w:u w:val="none"/>
          <w:lang w:val="en-US" w:eastAsia="zh-CN"/>
        </w:rPr>
        <w:t>—</w:t>
      </w:r>
      <w:r>
        <w:rPr>
          <w:rFonts w:hint="default" w:ascii="Times New Roman" w:hAnsi="Times New Roman" w:eastAsia="仿宋_GB2312" w:cs="Times New Roman"/>
          <w:color w:val="auto"/>
          <w:sz w:val="32"/>
          <w:szCs w:val="32"/>
          <w:u w:val="none"/>
          <w:lang w:val="en-US" w:eastAsia="zh-CN"/>
        </w:rPr>
        <w:t>2035年，</w:t>
      </w:r>
      <w:r>
        <w:rPr>
          <w:rFonts w:hint="default" w:ascii="Times New Roman" w:hAnsi="Times New Roman" w:eastAsia="仿宋_GB2312" w:cs="Times New Roman"/>
          <w:color w:val="auto"/>
          <w:sz w:val="32"/>
          <w:szCs w:val="32"/>
          <w:highlight w:val="none"/>
          <w:u w:val="none"/>
          <w:lang w:val="en-US" w:eastAsia="zh-CN"/>
        </w:rPr>
        <w:t>其中近期</w:t>
      </w:r>
      <w:r>
        <w:rPr>
          <w:rFonts w:hint="eastAsia" w:eastAsia="仿宋_GB2312" w:cs="Times New Roman"/>
          <w:color w:val="auto"/>
          <w:sz w:val="32"/>
          <w:szCs w:val="32"/>
          <w:highlight w:val="none"/>
          <w:u w:val="none"/>
          <w:lang w:val="en-US" w:eastAsia="zh-CN"/>
        </w:rPr>
        <w:t>为</w:t>
      </w:r>
      <w:r>
        <w:rPr>
          <w:rFonts w:hint="default" w:ascii="Times New Roman" w:hAnsi="Times New Roman" w:eastAsia="仿宋_GB2312" w:cs="Times New Roman"/>
          <w:color w:val="auto"/>
          <w:sz w:val="32"/>
          <w:szCs w:val="32"/>
          <w:highlight w:val="none"/>
          <w:u w:val="none"/>
          <w:lang w:val="en-US" w:eastAsia="zh-CN"/>
        </w:rPr>
        <w:t>2024</w:t>
      </w:r>
      <w:r>
        <w:rPr>
          <w:rFonts w:hint="eastAsia" w:ascii="Times New Roman" w:hAnsi="Times New Roman" w:eastAsia="仿宋_GB2312" w:cs="Times New Roman"/>
          <w:color w:val="auto"/>
          <w:sz w:val="32"/>
          <w:szCs w:val="32"/>
          <w:highlight w:val="none"/>
          <w:u w:val="none"/>
          <w:lang w:val="en-US" w:eastAsia="zh-CN"/>
        </w:rPr>
        <w:t>—</w:t>
      </w:r>
      <w:r>
        <w:rPr>
          <w:rFonts w:hint="default" w:ascii="Times New Roman" w:hAnsi="Times New Roman" w:eastAsia="仿宋_GB2312" w:cs="Times New Roman"/>
          <w:color w:val="auto"/>
          <w:sz w:val="32"/>
          <w:szCs w:val="32"/>
          <w:highlight w:val="none"/>
          <w:u w:val="none"/>
          <w:lang w:val="en-US" w:eastAsia="zh-CN"/>
        </w:rPr>
        <w:t>2030年</w:t>
      </w:r>
      <w:r>
        <w:rPr>
          <w:rFonts w:hint="eastAsia" w:eastAsia="仿宋_GB2312" w:cs="Times New Roman"/>
          <w:color w:val="auto"/>
          <w:sz w:val="32"/>
          <w:szCs w:val="32"/>
          <w:highlight w:val="none"/>
          <w:u w:val="none"/>
          <w:lang w:val="en-US" w:eastAsia="zh-CN"/>
        </w:rPr>
        <w:t>、</w:t>
      </w:r>
      <w:r>
        <w:rPr>
          <w:rFonts w:hint="default" w:ascii="Times New Roman" w:hAnsi="Times New Roman" w:eastAsia="仿宋_GB2312" w:cs="Times New Roman"/>
          <w:color w:val="auto"/>
          <w:sz w:val="32"/>
          <w:szCs w:val="32"/>
          <w:highlight w:val="none"/>
          <w:u w:val="none"/>
          <w:lang w:val="en-US" w:eastAsia="zh-CN"/>
        </w:rPr>
        <w:t>远期</w:t>
      </w:r>
      <w:r>
        <w:rPr>
          <w:rFonts w:hint="eastAsia" w:eastAsia="仿宋_GB2312" w:cs="Times New Roman"/>
          <w:color w:val="auto"/>
          <w:sz w:val="32"/>
          <w:szCs w:val="32"/>
          <w:highlight w:val="none"/>
          <w:u w:val="none"/>
          <w:lang w:val="en-US" w:eastAsia="zh-CN"/>
        </w:rPr>
        <w:t>为</w:t>
      </w:r>
      <w:r>
        <w:rPr>
          <w:rFonts w:hint="default" w:ascii="Times New Roman" w:hAnsi="Times New Roman" w:eastAsia="仿宋_GB2312" w:cs="Times New Roman"/>
          <w:color w:val="auto"/>
          <w:sz w:val="32"/>
          <w:szCs w:val="32"/>
          <w:highlight w:val="none"/>
          <w:u w:val="none"/>
          <w:lang w:val="en-US" w:eastAsia="zh-CN"/>
        </w:rPr>
        <w:t>2031</w:t>
      </w:r>
      <w:r>
        <w:rPr>
          <w:rFonts w:hint="eastAsia" w:ascii="Times New Roman" w:hAnsi="Times New Roman" w:eastAsia="仿宋_GB2312" w:cs="Times New Roman"/>
          <w:color w:val="auto"/>
          <w:sz w:val="32"/>
          <w:szCs w:val="32"/>
          <w:u w:val="none"/>
          <w:lang w:val="en-US" w:eastAsia="zh-CN"/>
        </w:rPr>
        <w:t>—</w:t>
      </w:r>
      <w:r>
        <w:rPr>
          <w:rFonts w:hint="default" w:ascii="Times New Roman" w:hAnsi="Times New Roman" w:eastAsia="仿宋_GB2312" w:cs="Times New Roman"/>
          <w:color w:val="auto"/>
          <w:sz w:val="32"/>
          <w:szCs w:val="32"/>
          <w:highlight w:val="none"/>
          <w:u w:val="none"/>
          <w:lang w:val="en-US" w:eastAsia="zh-CN"/>
        </w:rPr>
        <w:t>2035年。</w:t>
      </w:r>
    </w:p>
    <w:p w14:paraId="67A8F055">
      <w:pPr>
        <w:pageBreakBefore w:val="0"/>
        <w:kinsoku/>
        <w:wordWrap/>
        <w:topLinePunct w:val="0"/>
        <w:bidi w:val="0"/>
        <w:spacing w:beforeAutospacing="0" w:afterAutospacing="0" w:line="560" w:lineRule="exact"/>
        <w:ind w:left="0" w:leftChars="0"/>
        <w:rPr>
          <w:rFonts w:hint="default" w:ascii="Times New Roman" w:hAnsi="Times New Roman" w:eastAsia="仿宋_GB2312" w:cs="Times New Roman"/>
          <w:color w:val="auto"/>
          <w:sz w:val="32"/>
          <w:szCs w:val="32"/>
          <w:highlight w:val="cyan"/>
          <w:u w:val="none"/>
          <w:lang w:val="en-US" w:eastAsia="zh-CN"/>
        </w:rPr>
      </w:pPr>
    </w:p>
    <w:p w14:paraId="26075DEC">
      <w:pPr>
        <w:pageBreakBefore w:val="0"/>
        <w:kinsoku/>
        <w:wordWrap/>
        <w:topLinePunct w:val="0"/>
        <w:bidi w:val="0"/>
        <w:spacing w:beforeAutospacing="0" w:afterAutospacing="0" w:line="560" w:lineRule="exact"/>
        <w:ind w:left="0" w:leftChars="0"/>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color w:val="auto"/>
          <w:sz w:val="32"/>
          <w:szCs w:val="32"/>
          <w:highlight w:val="none"/>
          <w:u w:val="none"/>
          <w:lang w:val="en-US" w:eastAsia="zh-CN"/>
        </w:rPr>
        <w:br w:type="page"/>
      </w:r>
    </w:p>
    <w:p w14:paraId="024A4368">
      <w:pPr>
        <w:pStyle w:val="2"/>
        <w:pageBreakBefore w:val="0"/>
        <w:kinsoku/>
        <w:wordWrap/>
        <w:topLinePunct w:val="0"/>
        <w:bidi w:val="0"/>
        <w:spacing w:before="0" w:beforeLines="0" w:beforeAutospacing="0" w:after="0" w:afterLines="0" w:afterAutospacing="0" w:line="560" w:lineRule="exact"/>
        <w:ind w:left="0" w:leftChars="0" w:firstLine="640" w:firstLineChars="200"/>
        <w:jc w:val="both"/>
        <w:rPr>
          <w:rFonts w:hint="eastAsia"/>
          <w:color w:val="auto"/>
          <w:u w:val="none"/>
          <w:lang w:val="en-US" w:eastAsia="zh-CN"/>
        </w:rPr>
      </w:pPr>
      <w:bookmarkStart w:id="21" w:name="_Toc6145"/>
      <w:bookmarkStart w:id="22" w:name="_Toc27897"/>
      <w:bookmarkStart w:id="23" w:name="_Toc25206"/>
      <w:r>
        <w:rPr>
          <w:rFonts w:hint="eastAsia" w:ascii="黑体" w:hAnsi="黑体" w:eastAsia="黑体" w:cs="黑体"/>
          <w:b w:val="0"/>
          <w:bCs/>
          <w:color w:val="auto"/>
          <w:sz w:val="32"/>
          <w:szCs w:val="32"/>
          <w:u w:val="none"/>
          <w:lang w:val="en-US" w:eastAsia="zh-CN"/>
        </w:rPr>
        <w:t>二、现状分析和规划解读</w:t>
      </w:r>
      <w:bookmarkEnd w:id="21"/>
      <w:bookmarkEnd w:id="22"/>
      <w:bookmarkEnd w:id="23"/>
    </w:p>
    <w:p w14:paraId="10FADFE4">
      <w:pPr>
        <w:pStyle w:val="3"/>
        <w:pageBreakBefore w:val="0"/>
        <w:kinsoku/>
        <w:wordWrap/>
        <w:topLinePunct w:val="0"/>
        <w:bidi w:val="0"/>
        <w:spacing w:beforeAutospacing="0" w:afterAutospacing="0" w:line="560" w:lineRule="exact"/>
        <w:ind w:left="0" w:leftChars="0" w:firstLine="640" w:firstLineChars="200"/>
        <w:rPr>
          <w:rFonts w:hint="eastAsia" w:ascii="楷体_GB2312" w:hAnsi="楷体_GB2312" w:eastAsia="楷体_GB2312" w:cs="楷体_GB2312"/>
          <w:b w:val="0"/>
          <w:bCs w:val="0"/>
          <w:color w:val="auto"/>
          <w:sz w:val="32"/>
          <w:szCs w:val="32"/>
          <w:highlight w:val="none"/>
          <w:u w:val="none"/>
          <w:lang w:val="en-US" w:eastAsia="zh-CN"/>
        </w:rPr>
      </w:pPr>
      <w:bookmarkStart w:id="24" w:name="_Toc11292"/>
      <w:bookmarkStart w:id="25" w:name="_Toc16210"/>
      <w:bookmarkStart w:id="26" w:name="_Toc32553"/>
      <w:r>
        <w:rPr>
          <w:rFonts w:hint="eastAsia" w:ascii="楷体_GB2312" w:hAnsi="楷体_GB2312" w:eastAsia="楷体_GB2312" w:cs="楷体_GB2312"/>
          <w:b w:val="0"/>
          <w:bCs w:val="0"/>
          <w:color w:val="auto"/>
          <w:sz w:val="32"/>
          <w:szCs w:val="32"/>
          <w:highlight w:val="none"/>
          <w:u w:val="none"/>
          <w:lang w:val="en-US" w:eastAsia="zh-CN"/>
        </w:rPr>
        <w:t>（一）建筑垃圾治理现状及问题分析</w:t>
      </w:r>
      <w:bookmarkEnd w:id="24"/>
      <w:bookmarkEnd w:id="25"/>
      <w:bookmarkEnd w:id="26"/>
    </w:p>
    <w:p w14:paraId="3EA713DD">
      <w:pPr>
        <w:pageBreakBefore w:val="0"/>
        <w:kinsoku/>
        <w:wordWrap/>
        <w:topLinePunct w:val="0"/>
        <w:bidi w:val="0"/>
        <w:spacing w:beforeAutospacing="0" w:afterAutospacing="0" w:line="560" w:lineRule="exact"/>
        <w:ind w:left="0" w:leftChars="0" w:firstLine="640" w:firstLineChars="200"/>
        <w:rPr>
          <w:rFonts w:hint="default" w:ascii="Times New Roman" w:hAnsi="Times New Roman" w:eastAsia="仿宋_GB2312" w:cs="Times New Roman"/>
          <w:b w:val="0"/>
          <w:bCs w:val="0"/>
          <w:color w:val="auto"/>
          <w:sz w:val="32"/>
          <w:szCs w:val="32"/>
          <w:highlight w:val="none"/>
          <w:u w:val="none"/>
          <w:lang w:val="en-US" w:eastAsia="zh-CN"/>
        </w:rPr>
      </w:pPr>
      <w:r>
        <w:rPr>
          <w:rFonts w:hint="default" w:ascii="Times New Roman" w:hAnsi="Times New Roman" w:eastAsia="仿宋_GB2312" w:cs="Times New Roman"/>
          <w:b w:val="0"/>
          <w:bCs w:val="0"/>
          <w:color w:val="auto"/>
          <w:sz w:val="32"/>
          <w:szCs w:val="32"/>
          <w:highlight w:val="none"/>
          <w:u w:val="none"/>
          <w:lang w:val="en-US" w:eastAsia="zh-CN"/>
        </w:rPr>
        <w:t>1．城镇概况</w:t>
      </w:r>
    </w:p>
    <w:p w14:paraId="6039EDC4">
      <w:pPr>
        <w:pageBreakBefore w:val="0"/>
        <w:kinsoku/>
        <w:wordWrap/>
        <w:topLinePunct w:val="0"/>
        <w:bidi w:val="0"/>
        <w:spacing w:beforeAutospacing="0" w:afterAutospacing="0" w:line="560" w:lineRule="exact"/>
        <w:ind w:left="0" w:leftChars="0" w:firstLine="640" w:firstLineChars="200"/>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color w:val="auto"/>
          <w:sz w:val="32"/>
          <w:szCs w:val="32"/>
          <w:highlight w:val="none"/>
          <w:u w:val="none"/>
          <w:lang w:val="en-US" w:eastAsia="zh-CN"/>
        </w:rPr>
        <w:t>融安县位于广西壮族自治区和柳州市北部，东交</w:t>
      </w:r>
      <w:r>
        <w:rPr>
          <w:rFonts w:hint="eastAsia" w:ascii="Times New Roman" w:hAnsi="Times New Roman" w:eastAsia="仿宋_GB2312" w:cs="Times New Roman"/>
          <w:color w:val="auto"/>
          <w:sz w:val="32"/>
          <w:szCs w:val="32"/>
          <w:highlight w:val="none"/>
          <w:u w:val="none"/>
          <w:lang w:val="en-US" w:eastAsia="zh-CN"/>
        </w:rPr>
        <w:t>桂林市</w:t>
      </w:r>
      <w:r>
        <w:rPr>
          <w:rFonts w:hint="default" w:ascii="Times New Roman" w:hAnsi="Times New Roman" w:eastAsia="仿宋_GB2312" w:cs="Times New Roman"/>
          <w:color w:val="auto"/>
          <w:sz w:val="32"/>
          <w:szCs w:val="32"/>
          <w:highlight w:val="none"/>
          <w:u w:val="none"/>
          <w:lang w:val="en-US" w:eastAsia="zh-CN"/>
        </w:rPr>
        <w:t>永福县，南连柳城县、鹿寨县，西邻融水苗族自治县，北接三江侗族自治县</w:t>
      </w:r>
      <w:r>
        <w:rPr>
          <w:rFonts w:hint="eastAsia" w:ascii="Times New Roman" w:hAnsi="Times New Roman" w:eastAsia="仿宋_GB2312" w:cs="Times New Roman"/>
          <w:color w:val="auto"/>
          <w:sz w:val="32"/>
          <w:szCs w:val="32"/>
          <w:highlight w:val="none"/>
          <w:u w:val="none"/>
          <w:lang w:val="en-US" w:eastAsia="zh-CN"/>
        </w:rPr>
        <w:t>和</w:t>
      </w:r>
      <w:r>
        <w:rPr>
          <w:rFonts w:hint="default" w:ascii="Times New Roman" w:hAnsi="Times New Roman" w:eastAsia="仿宋_GB2312" w:cs="Times New Roman"/>
          <w:color w:val="auto"/>
          <w:sz w:val="32"/>
          <w:szCs w:val="32"/>
          <w:highlight w:val="none"/>
          <w:u w:val="none"/>
          <w:lang w:val="en-US" w:eastAsia="zh-CN"/>
        </w:rPr>
        <w:t>桂林市龙胜各族自治县、临桂区。</w:t>
      </w:r>
    </w:p>
    <w:p w14:paraId="6D62F399">
      <w:pPr>
        <w:pageBreakBefore w:val="0"/>
        <w:kinsoku/>
        <w:wordWrap/>
        <w:topLinePunct w:val="0"/>
        <w:bidi w:val="0"/>
        <w:spacing w:beforeAutospacing="0" w:afterAutospacing="0" w:line="560" w:lineRule="exact"/>
        <w:ind w:left="0" w:leftChars="0" w:firstLine="640" w:firstLineChars="200"/>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color w:val="auto"/>
          <w:sz w:val="32"/>
          <w:szCs w:val="32"/>
          <w:highlight w:val="none"/>
          <w:u w:val="none"/>
          <w:lang w:val="en-US" w:eastAsia="zh-CN"/>
        </w:rPr>
        <w:t>融安县地处亚热带季风气候区，冬短夏长，雨热同季，太阳辐射强，气候温和，雨水充沛。县城常年主导风向为东北风，其次为西南风和北风。</w:t>
      </w:r>
    </w:p>
    <w:p w14:paraId="2CEF2C6C">
      <w:pPr>
        <w:pageBreakBefore w:val="0"/>
        <w:kinsoku/>
        <w:wordWrap/>
        <w:topLinePunct w:val="0"/>
        <w:bidi w:val="0"/>
        <w:spacing w:beforeAutospacing="0" w:afterAutospacing="0" w:line="560" w:lineRule="exact"/>
        <w:ind w:left="0" w:leftChars="0" w:firstLine="640" w:firstLineChars="200"/>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color w:val="auto"/>
          <w:sz w:val="32"/>
          <w:szCs w:val="32"/>
          <w:highlight w:val="none"/>
          <w:u w:val="none"/>
          <w:lang w:val="en-US" w:eastAsia="zh-CN"/>
        </w:rPr>
        <w:t>融安县位于岭南南侧，为云贵高原延伸而来的桂北山地向桂中岩溶峰林峰丛谷地及柳州台地的过渡地带，处于广西</w:t>
      </w:r>
      <w:r>
        <w:rPr>
          <w:rFonts w:hint="eastAsia" w:ascii="仿宋_GB2312" w:hAnsi="仿宋_GB2312" w:eastAsia="仿宋_GB2312" w:cs="仿宋_GB2312"/>
          <w:color w:val="auto"/>
          <w:sz w:val="32"/>
          <w:szCs w:val="32"/>
          <w:highlight w:val="none"/>
          <w:u w:val="none"/>
          <w:lang w:val="en-US" w:eastAsia="zh-CN"/>
        </w:rPr>
        <w:t>“</w:t>
      </w:r>
      <w:r>
        <w:rPr>
          <w:rFonts w:hint="default" w:ascii="Times New Roman" w:hAnsi="Times New Roman" w:eastAsia="仿宋_GB2312" w:cs="Times New Roman"/>
          <w:color w:val="auto"/>
          <w:sz w:val="32"/>
          <w:szCs w:val="32"/>
          <w:highlight w:val="none"/>
          <w:u w:val="none"/>
          <w:lang w:val="en-US" w:eastAsia="zh-CN"/>
        </w:rPr>
        <w:t>山</w:t>
      </w:r>
      <w:r>
        <w:rPr>
          <w:rFonts w:hint="eastAsia" w:ascii="仿宋_GB2312" w:hAnsi="仿宋_GB2312" w:eastAsia="仿宋_GB2312" w:cs="仿宋_GB2312"/>
          <w:color w:val="auto"/>
          <w:sz w:val="32"/>
          <w:szCs w:val="32"/>
          <w:highlight w:val="none"/>
          <w:u w:val="none"/>
          <w:lang w:val="en-US" w:eastAsia="zh-CN"/>
        </w:rPr>
        <w:t>”</w:t>
      </w:r>
      <w:r>
        <w:rPr>
          <w:rFonts w:hint="default" w:ascii="Times New Roman" w:hAnsi="Times New Roman" w:eastAsia="仿宋_GB2312" w:cs="Times New Roman"/>
          <w:color w:val="auto"/>
          <w:sz w:val="32"/>
          <w:szCs w:val="32"/>
          <w:highlight w:val="none"/>
          <w:u w:val="none"/>
          <w:lang w:val="en-US" w:eastAsia="zh-CN"/>
        </w:rPr>
        <w:t>字形构造的中轴脊柱东侧，地势东北高西南低。受山陵峰丛和沉积平原综合地貌影响，全县山地延绵起伏。全县水系发达，水资源丰富，流经境内的大小河流合计93条，其中融江是境内第一大河流，发源于贵州省独山县，全县河流总长度1985.85千米，集雨面积2796平方千米。</w:t>
      </w:r>
    </w:p>
    <w:p w14:paraId="5F6D17C9">
      <w:pPr>
        <w:pageBreakBefore w:val="0"/>
        <w:kinsoku/>
        <w:wordWrap/>
        <w:topLinePunct w:val="0"/>
        <w:bidi w:val="0"/>
        <w:spacing w:beforeAutospacing="0" w:afterAutospacing="0" w:line="560" w:lineRule="exact"/>
        <w:ind w:left="0" w:leftChars="0" w:firstLine="640" w:firstLineChars="200"/>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color w:val="auto"/>
          <w:sz w:val="32"/>
          <w:szCs w:val="32"/>
          <w:highlight w:val="none"/>
          <w:u w:val="none"/>
          <w:lang w:val="en-US" w:eastAsia="zh-CN"/>
        </w:rPr>
        <w:t>根据县区级生产总值统一核算结果</w:t>
      </w:r>
      <w:r>
        <w:rPr>
          <w:rFonts w:hint="eastAsia" w:eastAsia="仿宋_GB2312" w:cs="Times New Roman"/>
          <w:color w:val="auto"/>
          <w:sz w:val="32"/>
          <w:szCs w:val="32"/>
          <w:highlight w:val="none"/>
          <w:u w:val="none"/>
          <w:lang w:val="en-US" w:eastAsia="zh-CN"/>
        </w:rPr>
        <w:t>，</w:t>
      </w:r>
      <w:r>
        <w:rPr>
          <w:rFonts w:hint="default" w:ascii="Times New Roman" w:hAnsi="Times New Roman" w:eastAsia="仿宋_GB2312" w:cs="Times New Roman"/>
          <w:color w:val="auto"/>
          <w:sz w:val="32"/>
          <w:szCs w:val="32"/>
          <w:highlight w:val="none"/>
          <w:u w:val="none"/>
          <w:lang w:val="en-US" w:eastAsia="zh-CN"/>
        </w:rPr>
        <w:t>2024年融安县生产总值124.16亿元，按可比价计算，同比上年增长2.5%。分产业看，第一产业增加值44.41亿元，增长4.6%；第二产业增加值25.95亿元，增长3.4%，其中工业增加值19.95亿元，增长3.0%；第三产业增加值53.80亿元，增长0.6%。三次产业比重为35.77∶20.90∶43.33。</w:t>
      </w:r>
    </w:p>
    <w:p w14:paraId="7302C83B">
      <w:pPr>
        <w:pageBreakBefore w:val="0"/>
        <w:kinsoku/>
        <w:wordWrap/>
        <w:topLinePunct w:val="0"/>
        <w:bidi w:val="0"/>
        <w:spacing w:beforeAutospacing="0" w:afterAutospacing="0" w:line="560" w:lineRule="exact"/>
        <w:ind w:left="0" w:leftChars="0" w:firstLine="640" w:firstLineChars="200"/>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color w:val="auto"/>
          <w:sz w:val="32"/>
          <w:szCs w:val="32"/>
          <w:highlight w:val="none"/>
          <w:u w:val="none"/>
          <w:lang w:val="en-US" w:eastAsia="zh-CN"/>
        </w:rPr>
        <w:t>2024年，全县农林牧渔业总产值66.71亿元，按可比价计算，同比上年增长4.6%。规模以上工业总产值比上年增长8.0%。社会消费品零售总额比上年增长0.2%。全年固定资产投资比上年增长0.8%。一般公共预算收入3.86亿元，比上年下降24.4%。</w:t>
      </w:r>
    </w:p>
    <w:p w14:paraId="2C5FF91F">
      <w:pPr>
        <w:pageBreakBefore w:val="0"/>
        <w:kinsoku/>
        <w:wordWrap/>
        <w:topLinePunct w:val="0"/>
        <w:bidi w:val="0"/>
        <w:spacing w:beforeAutospacing="0" w:afterAutospacing="0" w:line="560" w:lineRule="exact"/>
        <w:ind w:left="0" w:leftChars="0" w:firstLine="640" w:firstLineChars="200"/>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color w:val="auto"/>
          <w:sz w:val="32"/>
          <w:szCs w:val="32"/>
          <w:highlight w:val="none"/>
          <w:u w:val="none"/>
          <w:lang w:val="en-US" w:eastAsia="zh-CN"/>
        </w:rPr>
        <w:t>2024年，融安县居民人均可支配收入27839元，名义增长率5.7%。其中，城镇居民人均可支配收入38254元，名义增长率3.8%；农村居民人均可支配收入20766元，名义增长率7.1%。</w:t>
      </w:r>
    </w:p>
    <w:p w14:paraId="3AF6B46F">
      <w:pPr>
        <w:pageBreakBefore w:val="0"/>
        <w:kinsoku/>
        <w:wordWrap/>
        <w:topLinePunct w:val="0"/>
        <w:bidi w:val="0"/>
        <w:spacing w:beforeAutospacing="0" w:afterAutospacing="0" w:line="560" w:lineRule="exact"/>
        <w:ind w:left="0" w:leftChars="0" w:firstLine="640" w:firstLineChars="200"/>
        <w:rPr>
          <w:rFonts w:hint="default" w:ascii="Times New Roman" w:hAnsi="Times New Roman" w:eastAsia="仿宋_GB2312" w:cs="Times New Roman"/>
          <w:b w:val="0"/>
          <w:bCs w:val="0"/>
          <w:color w:val="auto"/>
          <w:sz w:val="32"/>
          <w:szCs w:val="32"/>
          <w:highlight w:val="none"/>
          <w:u w:val="none"/>
          <w:lang w:val="en-US" w:eastAsia="zh-CN"/>
        </w:rPr>
      </w:pPr>
      <w:r>
        <w:rPr>
          <w:rFonts w:hint="default" w:ascii="Times New Roman" w:hAnsi="Times New Roman" w:eastAsia="仿宋_GB2312" w:cs="Times New Roman"/>
          <w:b w:val="0"/>
          <w:bCs w:val="0"/>
          <w:color w:val="auto"/>
          <w:sz w:val="32"/>
          <w:szCs w:val="32"/>
          <w:highlight w:val="none"/>
          <w:u w:val="none"/>
          <w:lang w:val="en-US" w:eastAsia="zh-CN"/>
        </w:rPr>
        <w:t>2</w:t>
      </w:r>
      <w:r>
        <w:rPr>
          <w:rFonts w:hint="eastAsia" w:eastAsia="仿宋_GB2312" w:cs="Times New Roman"/>
          <w:b w:val="0"/>
          <w:bCs w:val="0"/>
          <w:color w:val="auto"/>
          <w:sz w:val="32"/>
          <w:szCs w:val="32"/>
          <w:highlight w:val="none"/>
          <w:u w:val="none"/>
          <w:lang w:val="en-US" w:eastAsia="zh-CN"/>
        </w:rPr>
        <w:t>．</w:t>
      </w:r>
      <w:r>
        <w:rPr>
          <w:rFonts w:hint="default" w:ascii="Times New Roman" w:hAnsi="Times New Roman" w:eastAsia="仿宋_GB2312" w:cs="Times New Roman"/>
          <w:b w:val="0"/>
          <w:bCs w:val="0"/>
          <w:color w:val="auto"/>
          <w:sz w:val="32"/>
          <w:szCs w:val="32"/>
          <w:highlight w:val="none"/>
          <w:u w:val="none"/>
          <w:lang w:val="en-US" w:eastAsia="zh-CN"/>
        </w:rPr>
        <w:t>建筑垃圾治理现状</w:t>
      </w:r>
    </w:p>
    <w:p w14:paraId="09FFD51E">
      <w:pPr>
        <w:pageBreakBefore w:val="0"/>
        <w:kinsoku/>
        <w:wordWrap/>
        <w:topLinePunct w:val="0"/>
        <w:bidi w:val="0"/>
        <w:spacing w:beforeAutospacing="0" w:afterAutospacing="0" w:line="560" w:lineRule="exact"/>
        <w:ind w:left="0" w:leftChars="0"/>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b/>
          <w:bCs/>
          <w:color w:val="auto"/>
          <w:sz w:val="32"/>
          <w:szCs w:val="32"/>
          <w:highlight w:val="none"/>
          <w:u w:val="none"/>
          <w:lang w:val="en-US" w:eastAsia="zh-CN"/>
        </w:rPr>
        <w:t>管理及信息化：</w:t>
      </w:r>
      <w:r>
        <w:rPr>
          <w:rFonts w:hint="default" w:ascii="Times New Roman" w:hAnsi="Times New Roman" w:eastAsia="仿宋_GB2312" w:cs="Times New Roman"/>
          <w:color w:val="auto"/>
          <w:sz w:val="32"/>
          <w:szCs w:val="32"/>
          <w:highlight w:val="none"/>
          <w:u w:val="none"/>
          <w:lang w:val="en-US" w:eastAsia="zh-CN"/>
        </w:rPr>
        <w:t>融安县建筑垃圾管理工作主管部门为融安县综合行政执法局。</w:t>
      </w:r>
      <w:r>
        <w:rPr>
          <w:rFonts w:hint="default" w:ascii="Times New Roman" w:hAnsi="Times New Roman" w:eastAsia="仿宋_GB2312" w:cs="Times New Roman"/>
          <w:sz w:val="32"/>
          <w:szCs w:val="32"/>
          <w:highlight w:val="none"/>
        </w:rPr>
        <w:t>《</w:t>
      </w:r>
      <w:r>
        <w:rPr>
          <w:rFonts w:hint="default" w:ascii="Times New Roman" w:hAnsi="Times New Roman" w:eastAsia="仿宋_GB2312" w:cs="Times New Roman"/>
          <w:sz w:val="32"/>
          <w:szCs w:val="32"/>
          <w:highlight w:val="none"/>
          <w:lang w:val="en-US" w:eastAsia="zh-CN"/>
        </w:rPr>
        <w:t>柳州市城市建筑垃圾管理规定</w:t>
      </w:r>
      <w:r>
        <w:rPr>
          <w:rFonts w:hint="default" w:ascii="Times New Roman" w:hAnsi="Times New Roman" w:eastAsia="仿宋_GB2312" w:cs="Times New Roman"/>
          <w:sz w:val="32"/>
          <w:szCs w:val="32"/>
          <w:highlight w:val="none"/>
        </w:rPr>
        <w:t>》</w:t>
      </w:r>
      <w:r>
        <w:rPr>
          <w:rFonts w:hint="default" w:ascii="Times New Roman" w:hAnsi="Times New Roman" w:eastAsia="仿宋_GB2312" w:cs="Times New Roman"/>
          <w:sz w:val="32"/>
          <w:szCs w:val="32"/>
          <w:highlight w:val="none"/>
          <w:lang w:val="en-US" w:eastAsia="zh-CN"/>
        </w:rPr>
        <w:t>自2021年2月26日施行</w:t>
      </w:r>
      <w:r>
        <w:rPr>
          <w:rFonts w:hint="eastAsia" w:eastAsia="仿宋_GB2312" w:cs="Times New Roman"/>
          <w:sz w:val="32"/>
          <w:szCs w:val="32"/>
          <w:highlight w:val="none"/>
          <w:lang w:val="en-US" w:eastAsia="zh-CN"/>
        </w:rPr>
        <w:t>，</w:t>
      </w:r>
      <w:r>
        <w:rPr>
          <w:rFonts w:hint="default" w:ascii="Times New Roman" w:hAnsi="Times New Roman" w:eastAsia="仿宋_GB2312" w:cs="Times New Roman"/>
          <w:sz w:val="32"/>
          <w:szCs w:val="32"/>
          <w:highlight w:val="none"/>
          <w:lang w:val="en-US" w:eastAsia="zh-CN"/>
        </w:rPr>
        <w:t>其中规定建筑垃圾的处置实行减量化、资源化、无害化和谁生产谁承担处置责任的原则；任何单位和个人不得将生活垃圾、危险废物与建筑垃圾混合倾倒；在施工场地内进行建筑垃圾回填利用的，建设单位或者施工单位应当在建设工程开工前15日内将建筑垃圾回填利用方案提交</w:t>
      </w:r>
      <w:r>
        <w:rPr>
          <w:rFonts w:hint="eastAsia" w:eastAsia="仿宋_GB2312" w:cs="Times New Roman"/>
          <w:sz w:val="32"/>
          <w:szCs w:val="32"/>
          <w:highlight w:val="none"/>
          <w:lang w:val="en-US" w:eastAsia="zh-CN"/>
        </w:rPr>
        <w:t>县综合行政执法局</w:t>
      </w:r>
      <w:r>
        <w:rPr>
          <w:rFonts w:hint="default" w:ascii="Times New Roman" w:hAnsi="Times New Roman" w:eastAsia="仿宋_GB2312" w:cs="Times New Roman"/>
          <w:sz w:val="32"/>
          <w:szCs w:val="32"/>
          <w:highlight w:val="none"/>
          <w:lang w:val="en-US" w:eastAsia="zh-CN"/>
        </w:rPr>
        <w:t>；</w:t>
      </w:r>
      <w:r>
        <w:rPr>
          <w:rFonts w:hint="eastAsia" w:eastAsia="仿宋_GB2312" w:cs="Times New Roman"/>
          <w:sz w:val="32"/>
          <w:szCs w:val="32"/>
          <w:highlight w:val="none"/>
          <w:lang w:val="en-US" w:eastAsia="zh-CN"/>
        </w:rPr>
        <w:t>县综合行政执法局</w:t>
      </w:r>
      <w:r>
        <w:rPr>
          <w:rFonts w:hint="default" w:ascii="Times New Roman" w:hAnsi="Times New Roman" w:eastAsia="仿宋_GB2312" w:cs="Times New Roman"/>
          <w:sz w:val="32"/>
          <w:szCs w:val="32"/>
          <w:highlight w:val="none"/>
          <w:lang w:val="en-US" w:eastAsia="zh-CN"/>
        </w:rPr>
        <w:t>负责建立建筑垃圾监督管理信息平台，相关主管部门配合建立健全建筑垃圾管理信息库和信息共享机制。</w:t>
      </w:r>
    </w:p>
    <w:p w14:paraId="3971C0A6">
      <w:pPr>
        <w:pageBreakBefore w:val="0"/>
        <w:kinsoku/>
        <w:wordWrap/>
        <w:topLinePunct w:val="0"/>
        <w:bidi w:val="0"/>
        <w:spacing w:beforeAutospacing="0" w:afterAutospacing="0" w:line="560" w:lineRule="exact"/>
        <w:ind w:left="0" w:leftChars="0"/>
        <w:rPr>
          <w:rFonts w:hint="default" w:ascii="Times New Roman" w:hAnsi="Times New Roman" w:eastAsia="仿宋_GB2312" w:cs="Times New Roman"/>
          <w:sz w:val="32"/>
          <w:szCs w:val="32"/>
          <w:highlight w:val="none"/>
          <w:lang w:val="en-US" w:eastAsia="zh-CN"/>
        </w:rPr>
      </w:pPr>
      <w:r>
        <w:rPr>
          <w:rFonts w:hint="eastAsia" w:eastAsia="仿宋_GB2312" w:cs="Times New Roman"/>
          <w:color w:val="auto"/>
          <w:sz w:val="32"/>
          <w:szCs w:val="32"/>
          <w:highlight w:val="none"/>
          <w:u w:val="none"/>
          <w:lang w:val="en-US" w:eastAsia="zh-CN"/>
        </w:rPr>
        <w:t>目前</w:t>
      </w:r>
      <w:r>
        <w:rPr>
          <w:rFonts w:hint="default" w:ascii="Times New Roman" w:hAnsi="Times New Roman" w:eastAsia="仿宋_GB2312" w:cs="Times New Roman"/>
          <w:color w:val="auto"/>
          <w:sz w:val="32"/>
          <w:szCs w:val="32"/>
          <w:highlight w:val="none"/>
          <w:u w:val="none"/>
          <w:lang w:val="en-US" w:eastAsia="zh-CN"/>
        </w:rPr>
        <w:t>融安县</w:t>
      </w:r>
      <w:r>
        <w:rPr>
          <w:rFonts w:hint="default" w:ascii="Times New Roman" w:hAnsi="Times New Roman" w:eastAsia="仿宋_GB2312" w:cs="Times New Roman"/>
          <w:color w:val="auto"/>
          <w:sz w:val="32"/>
          <w:szCs w:val="32"/>
          <w:highlight w:val="none"/>
          <w:u w:val="none"/>
          <w:lang w:val="en" w:eastAsia="zh-CN"/>
        </w:rPr>
        <w:t>建筑垃圾管理尚未</w:t>
      </w:r>
      <w:r>
        <w:rPr>
          <w:rFonts w:hint="default" w:ascii="Times New Roman" w:hAnsi="Times New Roman" w:eastAsia="仿宋_GB2312" w:cs="Times New Roman"/>
          <w:color w:val="auto"/>
          <w:sz w:val="32"/>
          <w:szCs w:val="32"/>
          <w:highlight w:val="none"/>
          <w:u w:val="none"/>
          <w:lang w:val="en-US" w:eastAsia="zh-CN"/>
        </w:rPr>
        <w:t>建成相关信息化管理平台。</w:t>
      </w:r>
    </w:p>
    <w:p w14:paraId="57538156">
      <w:pPr>
        <w:pageBreakBefore w:val="0"/>
        <w:kinsoku/>
        <w:wordWrap/>
        <w:topLinePunct w:val="0"/>
        <w:bidi w:val="0"/>
        <w:spacing w:beforeAutospacing="0" w:afterAutospacing="0" w:line="560" w:lineRule="exact"/>
        <w:ind w:left="0" w:leftChars="0" w:firstLine="643" w:firstLineChars="200"/>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b/>
          <w:bCs/>
          <w:color w:val="auto"/>
          <w:sz w:val="32"/>
          <w:szCs w:val="32"/>
          <w:highlight w:val="none"/>
          <w:u w:val="none"/>
          <w:lang w:val="en-US" w:eastAsia="zh-CN"/>
        </w:rPr>
        <w:t>产生现状：</w:t>
      </w:r>
      <w:r>
        <w:rPr>
          <w:rFonts w:hint="default" w:ascii="Times New Roman" w:hAnsi="Times New Roman" w:eastAsia="仿宋_GB2312" w:cs="Times New Roman"/>
          <w:color w:val="auto"/>
          <w:sz w:val="32"/>
          <w:szCs w:val="32"/>
          <w:highlight w:val="none"/>
          <w:u w:val="none"/>
          <w:lang w:val="en-US" w:eastAsia="zh-CN"/>
        </w:rPr>
        <w:t>目前融安县建筑垃圾产生处理统计系统尚不完善，产生量等数据统计不完善</w:t>
      </w:r>
      <w:r>
        <w:rPr>
          <w:rFonts w:hint="eastAsia" w:eastAsia="仿宋_GB2312" w:cs="Times New Roman"/>
          <w:color w:val="auto"/>
          <w:sz w:val="32"/>
          <w:szCs w:val="32"/>
          <w:highlight w:val="none"/>
          <w:u w:val="none"/>
          <w:lang w:val="en-US" w:eastAsia="zh-CN"/>
        </w:rPr>
        <w:t>，</w:t>
      </w:r>
      <w:r>
        <w:rPr>
          <w:rFonts w:hint="default" w:ascii="Times New Roman" w:hAnsi="Times New Roman" w:eastAsia="仿宋_GB2312" w:cs="Times New Roman"/>
          <w:color w:val="auto"/>
          <w:sz w:val="32"/>
          <w:szCs w:val="32"/>
          <w:highlight w:val="none"/>
          <w:u w:val="none"/>
          <w:lang w:val="en-US" w:eastAsia="zh-CN"/>
        </w:rPr>
        <w:t>存在建筑垃圾随意倾倒现象。</w:t>
      </w:r>
    </w:p>
    <w:p w14:paraId="2784AD6A">
      <w:pPr>
        <w:pageBreakBefore w:val="0"/>
        <w:kinsoku/>
        <w:wordWrap/>
        <w:topLinePunct w:val="0"/>
        <w:bidi w:val="0"/>
        <w:spacing w:beforeAutospacing="0" w:afterAutospacing="0" w:line="560" w:lineRule="exact"/>
        <w:ind w:left="0" w:leftChars="0"/>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b/>
          <w:bCs/>
          <w:color w:val="auto"/>
          <w:sz w:val="32"/>
          <w:szCs w:val="32"/>
          <w:highlight w:val="none"/>
          <w:u w:val="none"/>
          <w:lang w:val="en-US" w:eastAsia="zh-CN"/>
        </w:rPr>
        <w:t>收集运输现状：</w:t>
      </w:r>
      <w:r>
        <w:rPr>
          <w:rFonts w:hint="default" w:ascii="Times New Roman" w:hAnsi="Times New Roman" w:eastAsia="仿宋_GB2312" w:cs="Times New Roman"/>
          <w:color w:val="auto"/>
          <w:sz w:val="32"/>
          <w:szCs w:val="32"/>
          <w:highlight w:val="none"/>
          <w:u w:val="none"/>
          <w:lang w:val="en-US" w:eastAsia="zh-CN"/>
        </w:rPr>
        <w:t>融安县</w:t>
      </w:r>
      <w:r>
        <w:rPr>
          <w:rFonts w:hint="eastAsia" w:eastAsia="仿宋_GB2312" w:cs="Times New Roman"/>
          <w:color w:val="auto"/>
          <w:sz w:val="32"/>
          <w:szCs w:val="32"/>
          <w:highlight w:val="none"/>
          <w:u w:val="none"/>
          <w:lang w:val="en-US" w:eastAsia="zh-CN"/>
        </w:rPr>
        <w:t>城区</w:t>
      </w:r>
      <w:r>
        <w:rPr>
          <w:rFonts w:hint="default" w:ascii="Times New Roman" w:hAnsi="Times New Roman" w:eastAsia="仿宋_GB2312" w:cs="Times New Roman"/>
          <w:color w:val="auto"/>
          <w:sz w:val="32"/>
          <w:szCs w:val="32"/>
          <w:highlight w:val="none"/>
          <w:u w:val="none"/>
          <w:lang w:val="en-US" w:eastAsia="zh-CN"/>
        </w:rPr>
        <w:t>目前没有正式的建筑垃圾消纳场，所以也没有登记在册的建筑垃圾清运企业。为了进一步加强全县建筑垃圾（渣土）运输管理，2019年4月22日形成《融安县建筑垃圾（渣土）运输公司化运营实施方案》并</w:t>
      </w:r>
      <w:r>
        <w:rPr>
          <w:rFonts w:hint="eastAsia" w:eastAsia="仿宋_GB2312" w:cs="Times New Roman"/>
          <w:color w:val="auto"/>
          <w:sz w:val="32"/>
          <w:szCs w:val="32"/>
          <w:highlight w:val="none"/>
          <w:u w:val="none"/>
          <w:lang w:val="en-US" w:eastAsia="zh-CN"/>
        </w:rPr>
        <w:t>批准实施</w:t>
      </w:r>
      <w:r>
        <w:rPr>
          <w:rFonts w:hint="default" w:ascii="Times New Roman" w:hAnsi="Times New Roman" w:eastAsia="仿宋_GB2312" w:cs="Times New Roman"/>
          <w:color w:val="auto"/>
          <w:sz w:val="32"/>
          <w:szCs w:val="32"/>
          <w:highlight w:val="none"/>
          <w:u w:val="none"/>
          <w:lang w:val="en-US" w:eastAsia="zh-CN"/>
        </w:rPr>
        <w:t>，工作目标是规范城市建筑垃圾（渣土）</w:t>
      </w:r>
      <w:r>
        <w:rPr>
          <w:rFonts w:hint="eastAsia" w:eastAsia="仿宋_GB2312" w:cs="Times New Roman"/>
          <w:color w:val="auto"/>
          <w:sz w:val="32"/>
          <w:szCs w:val="32"/>
          <w:highlight w:val="none"/>
          <w:u w:val="none"/>
          <w:lang w:val="en-US" w:eastAsia="zh-CN"/>
        </w:rPr>
        <w:t>运输</w:t>
      </w:r>
      <w:r>
        <w:rPr>
          <w:rFonts w:hint="default" w:ascii="Times New Roman" w:hAnsi="Times New Roman" w:eastAsia="仿宋_GB2312" w:cs="Times New Roman"/>
          <w:color w:val="auto"/>
          <w:sz w:val="32"/>
          <w:szCs w:val="32"/>
          <w:highlight w:val="none"/>
          <w:u w:val="none"/>
          <w:lang w:val="en-US" w:eastAsia="zh-CN"/>
        </w:rPr>
        <w:t>行业管理，理顺管理体制，明确工作职责，加强联动协作，实行建筑垃圾（渣土）运输市场准入制度，推进建筑垃圾（渣土）运输公司化、规模化、专业化运行，建立长效管理机制，提高城市环境质量。</w:t>
      </w:r>
    </w:p>
    <w:p w14:paraId="64382F9B">
      <w:pPr>
        <w:pageBreakBefore w:val="0"/>
        <w:kinsoku/>
        <w:wordWrap/>
        <w:topLinePunct w:val="0"/>
        <w:bidi w:val="0"/>
        <w:spacing w:beforeAutospacing="0" w:afterAutospacing="0" w:line="560" w:lineRule="exact"/>
        <w:ind w:left="0" w:leftChars="0"/>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b/>
          <w:bCs/>
          <w:color w:val="auto"/>
          <w:sz w:val="32"/>
          <w:szCs w:val="32"/>
          <w:highlight w:val="none"/>
          <w:u w:val="none"/>
          <w:lang w:val="en-US" w:eastAsia="zh-CN"/>
        </w:rPr>
        <w:t>处理处置现状：</w:t>
      </w:r>
      <w:r>
        <w:rPr>
          <w:rFonts w:hint="default" w:ascii="Times New Roman" w:hAnsi="Times New Roman" w:eastAsia="仿宋_GB2312" w:cs="Times New Roman"/>
          <w:color w:val="auto"/>
          <w:sz w:val="32"/>
          <w:szCs w:val="32"/>
          <w:highlight w:val="none"/>
          <w:u w:val="none"/>
          <w:lang w:val="en-US" w:eastAsia="zh-CN"/>
        </w:rPr>
        <w:t>多数建筑垃圾产生单位无法将建筑垃圾运至消纳场消纳，以工地间点对点消纳为主</w:t>
      </w:r>
      <w:r>
        <w:rPr>
          <w:rFonts w:hint="eastAsia" w:eastAsia="仿宋_GB2312" w:cs="Times New Roman"/>
          <w:color w:val="auto"/>
          <w:sz w:val="32"/>
          <w:szCs w:val="32"/>
          <w:highlight w:val="none"/>
          <w:u w:val="none"/>
          <w:lang w:val="en-US" w:eastAsia="zh-CN"/>
        </w:rPr>
        <w:t>，同时</w:t>
      </w:r>
      <w:r>
        <w:rPr>
          <w:rFonts w:hint="default" w:ascii="Times New Roman" w:hAnsi="Times New Roman" w:eastAsia="仿宋_GB2312" w:cs="Times New Roman"/>
          <w:color w:val="auto"/>
          <w:sz w:val="32"/>
          <w:szCs w:val="32"/>
          <w:highlight w:val="none"/>
          <w:u w:val="none"/>
          <w:lang w:val="en-US" w:eastAsia="zh-CN"/>
        </w:rPr>
        <w:t>建筑垃圾随意倾倒的现象比较普遍。</w:t>
      </w:r>
    </w:p>
    <w:p w14:paraId="768D54EE">
      <w:pPr>
        <w:pageBreakBefore w:val="0"/>
        <w:kinsoku/>
        <w:wordWrap/>
        <w:topLinePunct w:val="0"/>
        <w:bidi w:val="0"/>
        <w:spacing w:beforeAutospacing="0" w:afterAutospacing="0" w:line="560" w:lineRule="exact"/>
        <w:ind w:left="0" w:leftChars="0" w:firstLine="640" w:firstLineChars="200"/>
        <w:rPr>
          <w:rFonts w:hint="default" w:ascii="Times New Roman" w:hAnsi="Times New Roman" w:eastAsia="仿宋_GB2312" w:cs="Times New Roman"/>
          <w:b/>
          <w:bCs/>
          <w:color w:val="auto"/>
          <w:sz w:val="32"/>
          <w:szCs w:val="32"/>
          <w:highlight w:val="none"/>
          <w:u w:val="none"/>
          <w:lang w:val="en-US" w:eastAsia="zh-CN"/>
        </w:rPr>
      </w:pPr>
      <w:r>
        <w:rPr>
          <w:rFonts w:hint="default" w:ascii="Times New Roman" w:hAnsi="Times New Roman" w:eastAsia="仿宋_GB2312" w:cs="Times New Roman"/>
          <w:b w:val="0"/>
          <w:bCs w:val="0"/>
          <w:color w:val="auto"/>
          <w:sz w:val="32"/>
          <w:szCs w:val="32"/>
          <w:highlight w:val="none"/>
          <w:u w:val="none"/>
          <w:lang w:val="en-US" w:eastAsia="zh-CN"/>
        </w:rPr>
        <w:t>3</w:t>
      </w:r>
      <w:r>
        <w:rPr>
          <w:rFonts w:hint="eastAsia" w:eastAsia="仿宋_GB2312" w:cs="Times New Roman"/>
          <w:b w:val="0"/>
          <w:bCs w:val="0"/>
          <w:color w:val="auto"/>
          <w:sz w:val="32"/>
          <w:szCs w:val="32"/>
          <w:highlight w:val="none"/>
          <w:u w:val="none"/>
          <w:lang w:val="en-US" w:eastAsia="zh-CN"/>
        </w:rPr>
        <w:t>．</w:t>
      </w:r>
      <w:r>
        <w:rPr>
          <w:rFonts w:hint="default" w:ascii="Times New Roman" w:hAnsi="Times New Roman" w:eastAsia="仿宋_GB2312" w:cs="Times New Roman"/>
          <w:b w:val="0"/>
          <w:bCs w:val="0"/>
          <w:color w:val="auto"/>
          <w:sz w:val="32"/>
          <w:szCs w:val="32"/>
          <w:highlight w:val="none"/>
          <w:u w:val="none"/>
          <w:lang w:val="en-US" w:eastAsia="zh-CN"/>
        </w:rPr>
        <w:t>存在的问题</w:t>
      </w:r>
    </w:p>
    <w:p w14:paraId="3C68C1E1">
      <w:pPr>
        <w:pageBreakBefore w:val="0"/>
        <w:kinsoku/>
        <w:wordWrap/>
        <w:topLinePunct w:val="0"/>
        <w:bidi w:val="0"/>
        <w:spacing w:beforeAutospacing="0" w:afterAutospacing="0" w:line="560" w:lineRule="exact"/>
        <w:ind w:left="0" w:leftChars="0"/>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b w:val="0"/>
          <w:bCs w:val="0"/>
          <w:color w:val="auto"/>
          <w:sz w:val="32"/>
          <w:szCs w:val="32"/>
          <w:highlight w:val="none"/>
          <w:u w:val="none"/>
          <w:lang w:val="en-US" w:eastAsia="zh-CN"/>
        </w:rPr>
        <w:t>（1）以减量为导向的源头治理模式尚需加强。</w:t>
      </w:r>
      <w:r>
        <w:rPr>
          <w:rFonts w:hint="default" w:ascii="Times New Roman" w:hAnsi="Times New Roman" w:eastAsia="仿宋_GB2312" w:cs="Times New Roman"/>
          <w:color w:val="auto"/>
          <w:sz w:val="32"/>
          <w:szCs w:val="32"/>
          <w:highlight w:val="none"/>
          <w:u w:val="none"/>
          <w:lang w:val="en-US" w:eastAsia="zh-CN"/>
        </w:rPr>
        <w:t>当前融安县建筑垃圾的源头排放管理主要通过处理核准制度，源头端的相关管理制度较为薄弱，尚未建立起建筑垃圾源头减量及分类的相关制度并落实，部分施工工地存在项目施工前未编制建筑垃圾处理方案、施工过程未严格落实已编制方案、施工现场未进行建筑垃圾源头分类收集、建筑垃圾源头排放管控力度不足等问题。加之受建设工程施工工艺</w:t>
      </w:r>
      <w:r>
        <w:rPr>
          <w:rFonts w:hint="eastAsia" w:eastAsia="仿宋_GB2312" w:cs="Times New Roman"/>
          <w:color w:val="auto"/>
          <w:sz w:val="32"/>
          <w:szCs w:val="32"/>
          <w:highlight w:val="none"/>
          <w:u w:val="none"/>
          <w:lang w:val="en-US" w:eastAsia="zh-CN"/>
        </w:rPr>
        <w:t>、</w:t>
      </w:r>
      <w:r>
        <w:rPr>
          <w:rFonts w:hint="default" w:ascii="Times New Roman" w:hAnsi="Times New Roman" w:eastAsia="仿宋_GB2312" w:cs="Times New Roman"/>
          <w:color w:val="auto"/>
          <w:sz w:val="32"/>
          <w:szCs w:val="32"/>
          <w:highlight w:val="none"/>
          <w:u w:val="none"/>
          <w:lang w:val="en-US" w:eastAsia="zh-CN"/>
        </w:rPr>
        <w:t>技术等因素影响，融安县建筑垃圾</w:t>
      </w:r>
      <w:r>
        <w:rPr>
          <w:rFonts w:hint="eastAsia" w:eastAsia="仿宋_GB2312" w:cs="Times New Roman"/>
          <w:color w:val="auto"/>
          <w:sz w:val="32"/>
          <w:szCs w:val="32"/>
          <w:highlight w:val="none"/>
          <w:u w:val="none"/>
          <w:lang w:val="en-US" w:eastAsia="zh-CN"/>
        </w:rPr>
        <w:t>产生量</w:t>
      </w:r>
      <w:r>
        <w:rPr>
          <w:rFonts w:hint="default" w:ascii="Times New Roman" w:hAnsi="Times New Roman" w:eastAsia="仿宋_GB2312" w:cs="Times New Roman"/>
          <w:color w:val="auto"/>
          <w:sz w:val="32"/>
          <w:szCs w:val="32"/>
          <w:highlight w:val="none"/>
          <w:u w:val="none"/>
          <w:lang w:val="en-US" w:eastAsia="zh-CN"/>
        </w:rPr>
        <w:t>仍较</w:t>
      </w:r>
      <w:r>
        <w:rPr>
          <w:rFonts w:hint="eastAsia" w:eastAsia="仿宋_GB2312" w:cs="Times New Roman"/>
          <w:color w:val="auto"/>
          <w:sz w:val="32"/>
          <w:szCs w:val="32"/>
          <w:highlight w:val="none"/>
          <w:u w:val="none"/>
          <w:lang w:val="en-US" w:eastAsia="zh-CN"/>
        </w:rPr>
        <w:t>大</w:t>
      </w:r>
      <w:r>
        <w:rPr>
          <w:rFonts w:hint="default" w:ascii="Times New Roman" w:hAnsi="Times New Roman" w:eastAsia="仿宋_GB2312" w:cs="Times New Roman"/>
          <w:color w:val="auto"/>
          <w:sz w:val="32"/>
          <w:szCs w:val="32"/>
          <w:highlight w:val="none"/>
          <w:u w:val="none"/>
          <w:lang w:val="en-US" w:eastAsia="zh-CN"/>
        </w:rPr>
        <w:t>。建筑垃圾分类收集的程度水平不高，</w:t>
      </w:r>
      <w:r>
        <w:rPr>
          <w:rFonts w:hint="eastAsia" w:eastAsia="仿宋_GB2312" w:cs="Times New Roman"/>
          <w:color w:val="auto"/>
          <w:sz w:val="32"/>
          <w:szCs w:val="32"/>
          <w:highlight w:val="none"/>
          <w:u w:val="none"/>
          <w:lang w:val="en-US" w:eastAsia="zh-CN"/>
        </w:rPr>
        <w:t>县城区</w:t>
      </w:r>
      <w:r>
        <w:rPr>
          <w:rFonts w:hint="default" w:ascii="Times New Roman" w:hAnsi="Times New Roman" w:eastAsia="仿宋_GB2312" w:cs="Times New Roman"/>
          <w:color w:val="auto"/>
          <w:sz w:val="32"/>
          <w:szCs w:val="32"/>
          <w:highlight w:val="none"/>
          <w:u w:val="none"/>
          <w:lang w:val="en-US" w:eastAsia="zh-CN"/>
        </w:rPr>
        <w:t>范围尚未完全铺开，加之居民、物业公司等缺乏建筑垃圾分类意识，造成生活垃圾与建筑垃圾混杂或建筑垃圾自身没有有效分类等情况普遍存在。</w:t>
      </w:r>
    </w:p>
    <w:p w14:paraId="52188148">
      <w:pPr>
        <w:pageBreakBefore w:val="0"/>
        <w:kinsoku/>
        <w:wordWrap/>
        <w:topLinePunct w:val="0"/>
        <w:bidi w:val="0"/>
        <w:spacing w:beforeAutospacing="0" w:afterAutospacing="0" w:line="560" w:lineRule="exact"/>
        <w:ind w:left="0" w:leftChars="0"/>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b w:val="0"/>
          <w:bCs w:val="0"/>
          <w:color w:val="auto"/>
          <w:sz w:val="32"/>
          <w:szCs w:val="32"/>
          <w:highlight w:val="none"/>
          <w:u w:val="none"/>
          <w:lang w:val="en-US" w:eastAsia="zh-CN"/>
        </w:rPr>
        <w:t>（2）以设施为支撑的终端处置体系尚需完善。</w:t>
      </w:r>
      <w:r>
        <w:rPr>
          <w:rFonts w:hint="eastAsia" w:eastAsia="仿宋_GB2312" w:cs="Times New Roman"/>
          <w:color w:val="auto"/>
          <w:sz w:val="32"/>
          <w:szCs w:val="32"/>
          <w:highlight w:val="none"/>
          <w:u w:val="none"/>
          <w:lang w:val="en-US" w:eastAsia="zh-CN"/>
        </w:rPr>
        <w:t>因</w:t>
      </w:r>
      <w:r>
        <w:rPr>
          <w:rFonts w:hint="default" w:ascii="Times New Roman" w:hAnsi="Times New Roman" w:eastAsia="仿宋_GB2312" w:cs="Times New Roman"/>
          <w:color w:val="auto"/>
          <w:sz w:val="32"/>
          <w:szCs w:val="32"/>
          <w:highlight w:val="none"/>
          <w:u w:val="none"/>
          <w:lang w:val="en-US" w:eastAsia="zh-CN"/>
        </w:rPr>
        <w:t>融安县没有正式的建筑垃圾消纳场，需要处置建筑垃圾的单位大多是自找出路或委托运输公司代找</w:t>
      </w:r>
      <w:r>
        <w:rPr>
          <w:rFonts w:hint="eastAsia" w:eastAsia="仿宋_GB2312" w:cs="Times New Roman"/>
          <w:color w:val="auto"/>
          <w:sz w:val="32"/>
          <w:szCs w:val="32"/>
          <w:highlight w:val="none"/>
          <w:u w:val="none"/>
          <w:lang w:val="en-US" w:eastAsia="zh-CN"/>
        </w:rPr>
        <w:t>消</w:t>
      </w:r>
      <w:r>
        <w:rPr>
          <w:rFonts w:hint="default" w:ascii="Times New Roman" w:hAnsi="Times New Roman" w:eastAsia="仿宋_GB2312" w:cs="Times New Roman"/>
          <w:color w:val="auto"/>
          <w:sz w:val="32"/>
          <w:szCs w:val="32"/>
          <w:highlight w:val="none"/>
          <w:u w:val="none"/>
          <w:lang w:val="en-US" w:eastAsia="zh-CN"/>
        </w:rPr>
        <w:t>纳场，直接影响管理效果。因此促使一些居民在经济利益的驱使下，寻找空地私设消纳场地，以</w:t>
      </w:r>
      <w:r>
        <w:rPr>
          <w:rFonts w:hint="eastAsia" w:eastAsia="仿宋_GB2312" w:cs="Times New Roman"/>
          <w:color w:val="auto"/>
          <w:sz w:val="32"/>
          <w:szCs w:val="32"/>
          <w:highlight w:val="none"/>
          <w:u w:val="none"/>
          <w:lang w:val="en-US" w:eastAsia="zh-CN"/>
        </w:rPr>
        <w:t>消</w:t>
      </w:r>
      <w:r>
        <w:rPr>
          <w:rFonts w:hint="default" w:ascii="Times New Roman" w:hAnsi="Times New Roman" w:eastAsia="仿宋_GB2312" w:cs="Times New Roman"/>
          <w:color w:val="auto"/>
          <w:sz w:val="32"/>
          <w:szCs w:val="32"/>
          <w:highlight w:val="none"/>
          <w:u w:val="none"/>
          <w:lang w:val="en-US" w:eastAsia="zh-CN"/>
        </w:rPr>
        <w:t>纳建筑垃圾赚钱营生，扰乱建筑垃圾处置市场和管理秩序。</w:t>
      </w:r>
    </w:p>
    <w:p w14:paraId="7D10DB75">
      <w:pPr>
        <w:pageBreakBefore w:val="0"/>
        <w:kinsoku/>
        <w:wordWrap/>
        <w:topLinePunct w:val="0"/>
        <w:bidi w:val="0"/>
        <w:spacing w:beforeAutospacing="0" w:afterAutospacing="0" w:line="560" w:lineRule="exact"/>
        <w:ind w:left="0" w:leftChars="0"/>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b w:val="0"/>
          <w:bCs w:val="0"/>
          <w:color w:val="auto"/>
          <w:sz w:val="32"/>
          <w:szCs w:val="32"/>
          <w:highlight w:val="none"/>
          <w:u w:val="none"/>
          <w:lang w:val="en-US" w:eastAsia="zh-CN"/>
        </w:rPr>
        <w:t>（3）管理难度增加，科技手段落后。</w:t>
      </w:r>
      <w:r>
        <w:rPr>
          <w:rFonts w:hint="default" w:ascii="Times New Roman" w:hAnsi="Times New Roman" w:eastAsia="仿宋_GB2312" w:cs="Times New Roman"/>
          <w:color w:val="auto"/>
          <w:sz w:val="32"/>
          <w:szCs w:val="32"/>
          <w:highlight w:val="none"/>
          <w:u w:val="none"/>
          <w:lang w:val="en-US" w:eastAsia="zh-CN"/>
        </w:rPr>
        <w:t>一是管理难度增加。随着建成区的不断扩大，管理区域不断扩张，城市管理执法范围不断增加，相应的执法部门及执法人员面对的挑战越来越多，建筑垃圾监管工作变得难以开展。二是科技手段落后。没有建立针对建筑垃圾运输的数字化监管平台，没有处置、受纳、运输等信息，一些未经核准的运输车辆擅自进入建筑垃圾收运市场，且未</w:t>
      </w:r>
      <w:r>
        <w:rPr>
          <w:rFonts w:hint="eastAsia" w:eastAsia="仿宋_GB2312" w:cs="Times New Roman"/>
          <w:color w:val="auto"/>
          <w:sz w:val="32"/>
          <w:szCs w:val="32"/>
          <w:highlight w:val="none"/>
          <w:u w:val="none"/>
          <w:lang w:val="en-US" w:eastAsia="zh-CN"/>
        </w:rPr>
        <w:t>按</w:t>
      </w:r>
      <w:r>
        <w:rPr>
          <w:rFonts w:hint="default" w:ascii="Times New Roman" w:hAnsi="Times New Roman" w:eastAsia="仿宋_GB2312" w:cs="Times New Roman"/>
          <w:color w:val="auto"/>
          <w:sz w:val="32"/>
          <w:szCs w:val="32"/>
          <w:highlight w:val="none"/>
          <w:u w:val="none"/>
          <w:lang w:val="en-US" w:eastAsia="zh-CN"/>
        </w:rPr>
        <w:t>要求安装卫星定位装置，未实施建筑垃圾电子转移联单制度，管理部门难以及时收集建筑垃圾管理动态，管理效率低下，执法难度大。</w:t>
      </w:r>
    </w:p>
    <w:p w14:paraId="7DA52B9B">
      <w:pPr>
        <w:pageBreakBefore w:val="0"/>
        <w:kinsoku/>
        <w:wordWrap/>
        <w:topLinePunct w:val="0"/>
        <w:bidi w:val="0"/>
        <w:spacing w:beforeAutospacing="0" w:afterAutospacing="0" w:line="560" w:lineRule="exact"/>
        <w:ind w:left="0" w:leftChars="0"/>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b w:val="0"/>
          <w:bCs w:val="0"/>
          <w:color w:val="auto"/>
          <w:sz w:val="32"/>
          <w:szCs w:val="32"/>
          <w:highlight w:val="none"/>
          <w:u w:val="none"/>
          <w:lang w:val="en-US" w:eastAsia="zh-CN"/>
        </w:rPr>
        <w:t>（4）城区内空置土地缺乏有效管理。</w:t>
      </w:r>
      <w:r>
        <w:rPr>
          <w:rFonts w:hint="default" w:ascii="Times New Roman" w:hAnsi="Times New Roman" w:eastAsia="仿宋_GB2312" w:cs="Times New Roman"/>
          <w:color w:val="auto"/>
          <w:sz w:val="32"/>
          <w:szCs w:val="32"/>
          <w:highlight w:val="none"/>
          <w:u w:val="none"/>
          <w:lang w:val="en-US" w:eastAsia="zh-CN"/>
        </w:rPr>
        <w:t>目前城区内一些土储地、三产用地、国企建设用地等空置</w:t>
      </w:r>
      <w:r>
        <w:rPr>
          <w:rFonts w:hint="eastAsia" w:eastAsia="仿宋_GB2312" w:cs="Times New Roman"/>
          <w:color w:val="auto"/>
          <w:sz w:val="32"/>
          <w:szCs w:val="32"/>
          <w:highlight w:val="none"/>
          <w:u w:val="none"/>
          <w:lang w:val="en-US" w:eastAsia="zh-CN"/>
        </w:rPr>
        <w:t>地</w:t>
      </w:r>
      <w:r>
        <w:rPr>
          <w:rFonts w:hint="default" w:ascii="Times New Roman" w:hAnsi="Times New Roman" w:eastAsia="仿宋_GB2312" w:cs="Times New Roman"/>
          <w:color w:val="auto"/>
          <w:sz w:val="32"/>
          <w:szCs w:val="32"/>
          <w:highlight w:val="none"/>
          <w:u w:val="none"/>
          <w:lang w:val="en-US" w:eastAsia="zh-CN"/>
        </w:rPr>
        <w:t>块管理者对建筑垃圾管理相关法律法规的意识普遍淡薄，对擅自倾倒的行为持放任态度，既未及时采取设置围档、封闭路口等措施加强管理，也没有向有关部门汇报所辖地块出现乱倒垃圾的问题，给执法部门查处此类案件造成了极大困难。</w:t>
      </w:r>
    </w:p>
    <w:p w14:paraId="1F235801">
      <w:pPr>
        <w:pageBreakBefore w:val="0"/>
        <w:kinsoku/>
        <w:wordWrap/>
        <w:topLinePunct w:val="0"/>
        <w:bidi w:val="0"/>
        <w:spacing w:beforeAutospacing="0" w:afterAutospacing="0" w:line="560" w:lineRule="exact"/>
        <w:ind w:left="0" w:leftChars="0"/>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b w:val="0"/>
          <w:bCs w:val="0"/>
          <w:color w:val="auto"/>
          <w:sz w:val="32"/>
          <w:szCs w:val="32"/>
          <w:highlight w:val="none"/>
          <w:u w:val="none"/>
          <w:lang w:val="en-US" w:eastAsia="zh-CN"/>
        </w:rPr>
        <w:t>（5）建筑垃圾法律法规不完善，存在管理</w:t>
      </w:r>
      <w:r>
        <w:rPr>
          <w:rFonts w:hint="eastAsia" w:ascii="仿宋_GB2312" w:hAnsi="仿宋_GB2312" w:eastAsia="仿宋_GB2312" w:cs="仿宋_GB2312"/>
          <w:b w:val="0"/>
          <w:bCs w:val="0"/>
          <w:color w:val="auto"/>
          <w:sz w:val="32"/>
          <w:szCs w:val="32"/>
          <w:highlight w:val="none"/>
          <w:u w:val="none"/>
          <w:lang w:val="en-US" w:eastAsia="zh-CN"/>
        </w:rPr>
        <w:t>“</w:t>
      </w:r>
      <w:r>
        <w:rPr>
          <w:rFonts w:hint="default" w:ascii="Times New Roman" w:hAnsi="Times New Roman" w:eastAsia="仿宋_GB2312" w:cs="Times New Roman"/>
          <w:b w:val="0"/>
          <w:bCs w:val="0"/>
          <w:color w:val="auto"/>
          <w:sz w:val="32"/>
          <w:szCs w:val="32"/>
          <w:highlight w:val="none"/>
          <w:u w:val="none"/>
          <w:lang w:val="en-US" w:eastAsia="zh-CN"/>
        </w:rPr>
        <w:t>真空区</w:t>
      </w:r>
      <w:r>
        <w:rPr>
          <w:rFonts w:hint="eastAsia" w:ascii="仿宋_GB2312" w:hAnsi="仿宋_GB2312" w:eastAsia="仿宋_GB2312" w:cs="仿宋_GB2312"/>
          <w:b w:val="0"/>
          <w:bCs w:val="0"/>
          <w:color w:val="auto"/>
          <w:sz w:val="32"/>
          <w:szCs w:val="32"/>
          <w:highlight w:val="none"/>
          <w:u w:val="none"/>
          <w:lang w:val="en-US" w:eastAsia="zh-CN"/>
        </w:rPr>
        <w:t>”</w:t>
      </w:r>
      <w:r>
        <w:rPr>
          <w:rFonts w:hint="default" w:ascii="Times New Roman" w:hAnsi="Times New Roman" w:eastAsia="仿宋_GB2312" w:cs="Times New Roman"/>
          <w:b w:val="0"/>
          <w:bCs w:val="0"/>
          <w:color w:val="auto"/>
          <w:sz w:val="32"/>
          <w:szCs w:val="32"/>
          <w:highlight w:val="none"/>
          <w:u w:val="none"/>
          <w:lang w:val="en-US" w:eastAsia="zh-CN"/>
        </w:rPr>
        <w:t>。</w:t>
      </w:r>
      <w:r>
        <w:rPr>
          <w:rFonts w:hint="default" w:ascii="Times New Roman" w:hAnsi="Times New Roman" w:eastAsia="仿宋_GB2312" w:cs="Times New Roman"/>
          <w:color w:val="auto"/>
          <w:sz w:val="32"/>
          <w:szCs w:val="32"/>
          <w:highlight w:val="none"/>
          <w:u w:val="none"/>
          <w:lang w:val="en-US" w:eastAsia="zh-CN"/>
        </w:rPr>
        <w:t>目前柳州市已制定</w:t>
      </w:r>
      <w:r>
        <w:rPr>
          <w:rFonts w:hint="default" w:ascii="Times New Roman" w:hAnsi="Times New Roman" w:eastAsia="仿宋_GB2312" w:cs="Times New Roman"/>
          <w:sz w:val="32"/>
          <w:szCs w:val="32"/>
          <w:highlight w:val="none"/>
        </w:rPr>
        <w:t>《</w:t>
      </w:r>
      <w:r>
        <w:rPr>
          <w:rFonts w:hint="default" w:ascii="Times New Roman" w:hAnsi="Times New Roman" w:eastAsia="仿宋_GB2312" w:cs="Times New Roman"/>
          <w:sz w:val="32"/>
          <w:szCs w:val="32"/>
          <w:highlight w:val="none"/>
          <w:lang w:val="en-US" w:eastAsia="zh-CN"/>
        </w:rPr>
        <w:t>柳州市城市建筑垃圾管理规定</w:t>
      </w:r>
      <w:r>
        <w:rPr>
          <w:rFonts w:hint="default" w:ascii="Times New Roman" w:hAnsi="Times New Roman" w:eastAsia="仿宋_GB2312" w:cs="Times New Roman"/>
          <w:sz w:val="32"/>
          <w:szCs w:val="32"/>
          <w:highlight w:val="none"/>
        </w:rPr>
        <w:t>》</w:t>
      </w:r>
      <w:r>
        <w:rPr>
          <w:rFonts w:hint="default" w:ascii="Times New Roman" w:hAnsi="Times New Roman" w:eastAsia="仿宋_GB2312" w:cs="Times New Roman"/>
          <w:color w:val="auto"/>
          <w:sz w:val="32"/>
          <w:szCs w:val="32"/>
          <w:highlight w:val="none"/>
          <w:u w:val="none"/>
          <w:lang w:val="en-US" w:eastAsia="zh-CN"/>
        </w:rPr>
        <w:t>，但该</w:t>
      </w:r>
      <w:r>
        <w:rPr>
          <w:rFonts w:hint="eastAsia" w:eastAsia="仿宋_GB2312" w:cs="Times New Roman"/>
          <w:color w:val="auto"/>
          <w:sz w:val="32"/>
          <w:szCs w:val="32"/>
          <w:highlight w:val="none"/>
          <w:u w:val="none"/>
          <w:lang w:val="en-US" w:eastAsia="zh-CN"/>
        </w:rPr>
        <w:t>规定在县城区</w:t>
      </w:r>
      <w:r>
        <w:rPr>
          <w:rFonts w:hint="default" w:ascii="Times New Roman" w:hAnsi="Times New Roman" w:eastAsia="仿宋_GB2312" w:cs="Times New Roman"/>
          <w:color w:val="auto"/>
          <w:sz w:val="32"/>
          <w:szCs w:val="32"/>
          <w:highlight w:val="none"/>
          <w:u w:val="none"/>
          <w:lang w:val="en-US" w:eastAsia="zh-CN"/>
        </w:rPr>
        <w:t>并未得到有效落实，也缺少关于建筑垃圾源头减量、分类管理、收运处置核准、联合监管执法、资源化利用推广等一系列法规政策规范，制约了建筑垃圾治理体系的形成。同时，现有上级法律法规主要是针对建筑垃圾运输企业及其所属的重型运输车辆进行监督管理，对于农用车、小型运输车辆等，缺乏明确的法律法规条款及相关执法权限，而当前乱倒建筑垃圾的案件多发生在这些个体运输户中，致使建筑垃圾乱倒、沿途撒漏等问题突出，难以得到有效根治。</w:t>
      </w:r>
    </w:p>
    <w:p w14:paraId="1ABCEF2D">
      <w:pPr>
        <w:pStyle w:val="3"/>
        <w:pageBreakBefore w:val="0"/>
        <w:kinsoku/>
        <w:wordWrap/>
        <w:topLinePunct w:val="0"/>
        <w:bidi w:val="0"/>
        <w:spacing w:beforeAutospacing="0" w:afterAutospacing="0" w:line="560" w:lineRule="exact"/>
        <w:ind w:left="0" w:leftChars="0" w:firstLine="640" w:firstLineChars="200"/>
        <w:rPr>
          <w:rFonts w:hint="default" w:ascii="Times New Roman" w:hAnsi="Times New Roman" w:eastAsia="仿宋_GB2312" w:cs="Times New Roman"/>
          <w:color w:val="auto"/>
          <w:sz w:val="32"/>
          <w:szCs w:val="32"/>
          <w:highlight w:val="none"/>
          <w:u w:val="none"/>
          <w:lang w:val="en-US" w:eastAsia="zh-CN"/>
        </w:rPr>
      </w:pPr>
      <w:bookmarkStart w:id="27" w:name="_Toc9801"/>
      <w:bookmarkStart w:id="28" w:name="_Toc31551"/>
      <w:bookmarkStart w:id="29" w:name="_Toc31671"/>
      <w:r>
        <w:rPr>
          <w:rFonts w:hint="eastAsia" w:ascii="楷体_GB2312" w:hAnsi="楷体_GB2312" w:eastAsia="楷体_GB2312" w:cs="楷体_GB2312"/>
          <w:b w:val="0"/>
          <w:bCs w:val="0"/>
          <w:color w:val="auto"/>
          <w:sz w:val="32"/>
          <w:szCs w:val="32"/>
          <w:highlight w:val="none"/>
          <w:u w:val="none"/>
          <w:lang w:val="en-US" w:eastAsia="zh-CN"/>
        </w:rPr>
        <w:t>（二）相关规划解读</w:t>
      </w:r>
      <w:bookmarkEnd w:id="27"/>
      <w:bookmarkEnd w:id="28"/>
      <w:bookmarkEnd w:id="29"/>
    </w:p>
    <w:p w14:paraId="6AB30A24">
      <w:pPr>
        <w:pageBreakBefore w:val="0"/>
        <w:kinsoku/>
        <w:wordWrap/>
        <w:topLinePunct w:val="0"/>
        <w:bidi w:val="0"/>
        <w:spacing w:beforeAutospacing="0" w:afterAutospacing="0" w:line="560" w:lineRule="exact"/>
        <w:ind w:left="0" w:leftChars="0"/>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b/>
          <w:bCs/>
          <w:color w:val="auto"/>
          <w:sz w:val="32"/>
          <w:szCs w:val="32"/>
          <w:highlight w:val="none"/>
          <w:u w:val="none"/>
          <w:lang w:val="en-US" w:eastAsia="zh-CN"/>
        </w:rPr>
        <w:t>《</w:t>
      </w:r>
      <w:r>
        <w:rPr>
          <w:rFonts w:hint="eastAsia" w:ascii="仿宋_GB2312" w:hAnsi="仿宋_GB2312" w:eastAsia="仿宋_GB2312" w:cs="仿宋_GB2312"/>
          <w:b/>
          <w:bCs/>
          <w:color w:val="auto"/>
          <w:sz w:val="32"/>
          <w:szCs w:val="32"/>
          <w:highlight w:val="none"/>
          <w:u w:val="none"/>
          <w:lang w:val="en-US" w:eastAsia="zh-CN"/>
        </w:rPr>
        <w:t>“</w:t>
      </w:r>
      <w:r>
        <w:rPr>
          <w:rFonts w:hint="default" w:ascii="Times New Roman" w:hAnsi="Times New Roman" w:eastAsia="仿宋_GB2312" w:cs="Times New Roman"/>
          <w:b/>
          <w:bCs/>
          <w:color w:val="auto"/>
          <w:sz w:val="32"/>
          <w:szCs w:val="32"/>
          <w:highlight w:val="none"/>
          <w:u w:val="none"/>
          <w:lang w:val="en-US" w:eastAsia="zh-CN"/>
        </w:rPr>
        <w:t>十四五</w:t>
      </w:r>
      <w:r>
        <w:rPr>
          <w:rFonts w:hint="eastAsia" w:ascii="仿宋_GB2312" w:hAnsi="仿宋_GB2312" w:eastAsia="仿宋_GB2312" w:cs="仿宋_GB2312"/>
          <w:b/>
          <w:bCs/>
          <w:color w:val="auto"/>
          <w:sz w:val="32"/>
          <w:szCs w:val="32"/>
          <w:highlight w:val="none"/>
          <w:u w:val="none"/>
          <w:lang w:val="en-US" w:eastAsia="zh-CN"/>
        </w:rPr>
        <w:t>”</w:t>
      </w:r>
      <w:r>
        <w:rPr>
          <w:rFonts w:hint="default" w:ascii="Times New Roman" w:hAnsi="Times New Roman" w:eastAsia="仿宋_GB2312" w:cs="Times New Roman"/>
          <w:b/>
          <w:bCs/>
          <w:color w:val="auto"/>
          <w:sz w:val="32"/>
          <w:szCs w:val="32"/>
          <w:highlight w:val="none"/>
          <w:u w:val="none"/>
          <w:lang w:val="en-US" w:eastAsia="zh-CN"/>
        </w:rPr>
        <w:t>全国城市基础设施建设规划》：</w:t>
      </w:r>
      <w:r>
        <w:rPr>
          <w:rFonts w:hint="default" w:ascii="Times New Roman" w:hAnsi="Times New Roman" w:eastAsia="仿宋_GB2312" w:cs="Times New Roman"/>
          <w:color w:val="auto"/>
          <w:sz w:val="32"/>
          <w:szCs w:val="32"/>
          <w:highlight w:val="none"/>
          <w:u w:val="none"/>
          <w:lang w:val="en-US" w:eastAsia="zh-CN"/>
        </w:rPr>
        <w:t>2022年7月29日</w:t>
      </w:r>
      <w:r>
        <w:rPr>
          <w:rFonts w:hint="eastAsia" w:eastAsia="仿宋_GB2312" w:cs="Times New Roman"/>
          <w:color w:val="auto"/>
          <w:sz w:val="32"/>
          <w:szCs w:val="32"/>
          <w:highlight w:val="none"/>
          <w:u w:val="none"/>
          <w:lang w:val="en-US" w:eastAsia="zh-CN"/>
        </w:rPr>
        <w:t>由</w:t>
      </w:r>
      <w:r>
        <w:rPr>
          <w:rFonts w:hint="default" w:ascii="Times New Roman" w:hAnsi="Times New Roman" w:eastAsia="仿宋_GB2312" w:cs="Times New Roman"/>
          <w:color w:val="auto"/>
          <w:sz w:val="32"/>
          <w:szCs w:val="32"/>
          <w:u w:val="none"/>
          <w:shd w:val="clear" w:color="auto" w:fill="auto"/>
          <w:lang w:val="en-US" w:eastAsia="zh-CN"/>
        </w:rPr>
        <w:t>住房和城乡建设部、国家发展改革委印发</w:t>
      </w:r>
      <w:r>
        <w:rPr>
          <w:rFonts w:hint="default" w:ascii="Times New Roman" w:hAnsi="Times New Roman" w:eastAsia="仿宋_GB2312" w:cs="Times New Roman"/>
          <w:color w:val="auto"/>
          <w:sz w:val="32"/>
          <w:szCs w:val="32"/>
          <w:highlight w:val="none"/>
          <w:u w:val="none"/>
          <w:lang w:val="en-US" w:eastAsia="zh-CN"/>
        </w:rPr>
        <w:t>，《规划》目标</w:t>
      </w:r>
      <w:r>
        <w:rPr>
          <w:rFonts w:hint="eastAsia" w:ascii="仿宋_GB2312" w:hAnsi="仿宋_GB2312" w:eastAsia="仿宋_GB2312" w:cs="仿宋_GB2312"/>
          <w:color w:val="auto"/>
          <w:sz w:val="32"/>
          <w:szCs w:val="32"/>
          <w:highlight w:val="none"/>
          <w:u w:val="none"/>
          <w:lang w:val="en-US" w:eastAsia="zh-CN"/>
        </w:rPr>
        <w:t>“</w:t>
      </w:r>
      <w:r>
        <w:rPr>
          <w:rFonts w:hint="default" w:ascii="Times New Roman" w:hAnsi="Times New Roman" w:eastAsia="仿宋_GB2312" w:cs="Times New Roman"/>
          <w:color w:val="auto"/>
          <w:sz w:val="32"/>
          <w:szCs w:val="32"/>
          <w:highlight w:val="none"/>
          <w:u w:val="none"/>
          <w:lang w:val="en-US" w:eastAsia="zh-CN"/>
        </w:rPr>
        <w:t>到2025年，城市建筑垃圾综合利用率达到50%以上</w:t>
      </w:r>
      <w:r>
        <w:rPr>
          <w:rFonts w:hint="eastAsia" w:ascii="仿宋_GB2312" w:hAnsi="仿宋_GB2312" w:eastAsia="仿宋_GB2312" w:cs="仿宋_GB2312"/>
          <w:color w:val="auto"/>
          <w:sz w:val="32"/>
          <w:szCs w:val="32"/>
          <w:highlight w:val="none"/>
          <w:u w:val="none"/>
          <w:lang w:val="en-US" w:eastAsia="zh-CN"/>
        </w:rPr>
        <w:t>”</w:t>
      </w:r>
      <w:r>
        <w:rPr>
          <w:rFonts w:hint="default" w:ascii="Times New Roman" w:hAnsi="Times New Roman" w:eastAsia="仿宋_GB2312" w:cs="Times New Roman"/>
          <w:color w:val="auto"/>
          <w:sz w:val="32"/>
          <w:szCs w:val="32"/>
          <w:highlight w:val="none"/>
          <w:u w:val="none"/>
          <w:lang w:val="en-US" w:eastAsia="zh-CN"/>
        </w:rPr>
        <w:t>，并将</w:t>
      </w:r>
      <w:r>
        <w:rPr>
          <w:rFonts w:hint="eastAsia" w:ascii="仿宋_GB2312" w:hAnsi="仿宋_GB2312" w:eastAsia="仿宋_GB2312" w:cs="仿宋_GB2312"/>
          <w:color w:val="auto"/>
          <w:sz w:val="32"/>
          <w:szCs w:val="32"/>
          <w:highlight w:val="none"/>
          <w:u w:val="none"/>
          <w:lang w:val="en-US" w:eastAsia="zh-CN"/>
        </w:rPr>
        <w:t>“</w:t>
      </w:r>
      <w:r>
        <w:rPr>
          <w:rFonts w:hint="default" w:ascii="Times New Roman" w:hAnsi="Times New Roman" w:eastAsia="仿宋_GB2312" w:cs="Times New Roman"/>
          <w:color w:val="auto"/>
          <w:sz w:val="32"/>
          <w:szCs w:val="32"/>
          <w:highlight w:val="none"/>
          <w:u w:val="none"/>
          <w:lang w:val="en-US" w:eastAsia="zh-CN"/>
        </w:rPr>
        <w:t>建立健全建筑垃圾治理和综合利用体系</w:t>
      </w:r>
      <w:r>
        <w:rPr>
          <w:rFonts w:hint="eastAsia" w:ascii="仿宋_GB2312" w:hAnsi="仿宋_GB2312" w:eastAsia="仿宋_GB2312" w:cs="仿宋_GB2312"/>
          <w:color w:val="auto"/>
          <w:sz w:val="32"/>
          <w:szCs w:val="32"/>
          <w:highlight w:val="none"/>
          <w:u w:val="none"/>
          <w:lang w:val="en-US" w:eastAsia="zh-CN"/>
        </w:rPr>
        <w:t>”</w:t>
      </w:r>
      <w:r>
        <w:rPr>
          <w:rFonts w:hint="default" w:ascii="Times New Roman" w:hAnsi="Times New Roman" w:eastAsia="仿宋_GB2312" w:cs="Times New Roman"/>
          <w:color w:val="auto"/>
          <w:sz w:val="32"/>
          <w:szCs w:val="32"/>
          <w:highlight w:val="none"/>
          <w:u w:val="none"/>
          <w:lang w:val="en-US" w:eastAsia="zh-CN"/>
        </w:rPr>
        <w:t>列为城市环境卫生提升重大行动。</w:t>
      </w:r>
    </w:p>
    <w:p w14:paraId="56E99601">
      <w:pPr>
        <w:pStyle w:val="25"/>
        <w:pageBreakBefore w:val="0"/>
        <w:kinsoku/>
        <w:wordWrap/>
        <w:topLinePunct w:val="0"/>
        <w:bidi w:val="0"/>
        <w:spacing w:beforeAutospacing="0" w:afterAutospacing="0" w:line="560" w:lineRule="exact"/>
        <w:ind w:left="0" w:leftChars="0"/>
        <w:rPr>
          <w:rFonts w:hint="default" w:ascii="Times New Roman" w:hAnsi="Times New Roman" w:eastAsia="仿宋_GB2312" w:cs="Times New Roman"/>
          <w:b/>
          <w:bCs/>
          <w:color w:val="auto"/>
          <w:kern w:val="2"/>
          <w:sz w:val="32"/>
          <w:szCs w:val="32"/>
          <w:highlight w:val="none"/>
          <w:u w:val="none"/>
          <w:lang w:val="en-US" w:eastAsia="zh-CN" w:bidi="ar-SA"/>
        </w:rPr>
      </w:pPr>
      <w:r>
        <w:rPr>
          <w:rFonts w:hint="default" w:ascii="Times New Roman" w:hAnsi="Times New Roman" w:eastAsia="仿宋_GB2312" w:cs="Times New Roman"/>
          <w:b/>
          <w:bCs/>
          <w:color w:val="auto"/>
          <w:kern w:val="2"/>
          <w:sz w:val="32"/>
          <w:szCs w:val="32"/>
          <w:highlight w:val="none"/>
          <w:u w:val="none"/>
          <w:lang w:val="en-US" w:eastAsia="zh-CN" w:bidi="ar-SA"/>
        </w:rPr>
        <w:t>《广西壮族自治区</w:t>
      </w:r>
      <w:r>
        <w:rPr>
          <w:rFonts w:hint="eastAsia" w:ascii="仿宋_GB2312" w:hAnsi="仿宋_GB2312" w:eastAsia="仿宋_GB2312" w:cs="仿宋_GB2312"/>
          <w:b/>
          <w:bCs/>
          <w:color w:val="auto"/>
          <w:kern w:val="2"/>
          <w:sz w:val="32"/>
          <w:szCs w:val="32"/>
          <w:highlight w:val="none"/>
          <w:u w:val="none"/>
          <w:lang w:val="en-US" w:eastAsia="zh-CN" w:bidi="ar-SA"/>
        </w:rPr>
        <w:t>“</w:t>
      </w:r>
      <w:r>
        <w:rPr>
          <w:rFonts w:hint="default" w:ascii="Times New Roman" w:hAnsi="Times New Roman" w:eastAsia="仿宋_GB2312" w:cs="Times New Roman"/>
          <w:b/>
          <w:bCs/>
          <w:color w:val="auto"/>
          <w:kern w:val="2"/>
          <w:sz w:val="32"/>
          <w:szCs w:val="32"/>
          <w:highlight w:val="none"/>
          <w:u w:val="none"/>
          <w:lang w:val="en-US" w:eastAsia="zh-CN" w:bidi="ar-SA"/>
        </w:rPr>
        <w:t>十四五</w:t>
      </w:r>
      <w:r>
        <w:rPr>
          <w:rFonts w:hint="eastAsia" w:ascii="仿宋_GB2312" w:hAnsi="仿宋_GB2312" w:eastAsia="仿宋_GB2312" w:cs="仿宋_GB2312"/>
          <w:b/>
          <w:bCs/>
          <w:color w:val="auto"/>
          <w:kern w:val="2"/>
          <w:sz w:val="32"/>
          <w:szCs w:val="32"/>
          <w:highlight w:val="none"/>
          <w:u w:val="none"/>
          <w:lang w:val="en-US" w:eastAsia="zh-CN" w:bidi="ar-SA"/>
        </w:rPr>
        <w:t>”</w:t>
      </w:r>
      <w:r>
        <w:rPr>
          <w:rFonts w:hint="default" w:ascii="Times New Roman" w:hAnsi="Times New Roman" w:eastAsia="仿宋_GB2312" w:cs="Times New Roman"/>
          <w:b/>
          <w:bCs/>
          <w:color w:val="auto"/>
          <w:kern w:val="2"/>
          <w:sz w:val="32"/>
          <w:szCs w:val="32"/>
          <w:highlight w:val="none"/>
          <w:u w:val="none"/>
          <w:lang w:val="en-US" w:eastAsia="zh-CN" w:bidi="ar-SA"/>
        </w:rPr>
        <w:t>城市基础设施建设规划》：</w:t>
      </w:r>
      <w:r>
        <w:rPr>
          <w:rFonts w:hint="default" w:ascii="Times New Roman" w:hAnsi="Times New Roman" w:eastAsia="仿宋_GB2312" w:cs="Times New Roman"/>
          <w:b w:val="0"/>
          <w:bCs w:val="0"/>
          <w:color w:val="auto"/>
          <w:kern w:val="2"/>
          <w:sz w:val="32"/>
          <w:szCs w:val="32"/>
          <w:highlight w:val="none"/>
          <w:u w:val="none"/>
          <w:lang w:val="en-US" w:eastAsia="zh-CN" w:bidi="ar-SA"/>
        </w:rPr>
        <w:t>建立建筑垃圾分类全过程管理制度，加强建筑垃圾产生、转运、调配、消纳处置以及资源化利用全过程管理，实现工程渣土（弃土）、工程泥浆、工程垃圾、拆除垃圾、装修垃圾等不同类别的建筑垃圾分类收集、分类运输、分类处理与资源化利用。加强建筑垃圾源头管控，按照</w:t>
      </w:r>
      <w:r>
        <w:rPr>
          <w:rFonts w:hint="eastAsia" w:ascii="仿宋_GB2312" w:hAnsi="仿宋_GB2312" w:eastAsia="仿宋_GB2312" w:cs="仿宋_GB2312"/>
          <w:b w:val="0"/>
          <w:bCs w:val="0"/>
          <w:color w:val="auto"/>
          <w:kern w:val="2"/>
          <w:sz w:val="32"/>
          <w:szCs w:val="32"/>
          <w:highlight w:val="none"/>
          <w:u w:val="none"/>
          <w:lang w:val="en-US" w:eastAsia="zh-CN" w:bidi="ar-SA"/>
        </w:rPr>
        <w:t>“</w:t>
      </w:r>
      <w:r>
        <w:rPr>
          <w:rFonts w:hint="default" w:ascii="Times New Roman" w:hAnsi="Times New Roman" w:eastAsia="仿宋_GB2312" w:cs="Times New Roman"/>
          <w:b w:val="0"/>
          <w:bCs w:val="0"/>
          <w:color w:val="auto"/>
          <w:kern w:val="2"/>
          <w:sz w:val="32"/>
          <w:szCs w:val="32"/>
          <w:highlight w:val="none"/>
          <w:u w:val="none"/>
          <w:lang w:val="en-US" w:eastAsia="zh-CN" w:bidi="ar-SA"/>
        </w:rPr>
        <w:t>谁产生、谁负责</w:t>
      </w:r>
      <w:r>
        <w:rPr>
          <w:rFonts w:hint="eastAsia" w:ascii="仿宋_GB2312" w:hAnsi="仿宋_GB2312" w:eastAsia="仿宋_GB2312" w:cs="仿宋_GB2312"/>
          <w:b w:val="0"/>
          <w:bCs w:val="0"/>
          <w:color w:val="auto"/>
          <w:kern w:val="2"/>
          <w:sz w:val="32"/>
          <w:szCs w:val="32"/>
          <w:highlight w:val="none"/>
          <w:u w:val="none"/>
          <w:lang w:val="en-US" w:eastAsia="zh-CN" w:bidi="ar-SA"/>
        </w:rPr>
        <w:t>”</w:t>
      </w:r>
      <w:r>
        <w:rPr>
          <w:rFonts w:hint="default" w:ascii="Times New Roman" w:hAnsi="Times New Roman" w:eastAsia="仿宋_GB2312" w:cs="Times New Roman"/>
          <w:b w:val="0"/>
          <w:bCs w:val="0"/>
          <w:color w:val="auto"/>
          <w:kern w:val="2"/>
          <w:sz w:val="32"/>
          <w:szCs w:val="32"/>
          <w:highlight w:val="none"/>
          <w:u w:val="none"/>
          <w:lang w:val="en-US" w:eastAsia="zh-CN" w:bidi="ar-SA"/>
        </w:rPr>
        <w:t>的原则，落实建设单位建筑垃圾减量化主体责任。鼓励通过绿色策划、绿色设计、绿色施工，从源头上预防和减少工程建设过程中建筑垃圾的产生量。加快建筑垃圾处理设施建设，把建筑垃圾处理与资源化利用设施作为城市基础设施建设的重要组成部分，合理确定建筑垃圾转运调配、填埋处理、资源化利用设施布局和规模。健全建筑垃圾再生建材产品应用体系，不断提升再生建材产品质量，促进再生建材行业生产和应用技术进步。到2025年底，推进</w:t>
      </w:r>
      <w:r>
        <w:rPr>
          <w:rFonts w:hint="eastAsia" w:ascii="Times New Roman" w:hAnsi="Times New Roman" w:eastAsia="仿宋_GB2312" w:cs="Times New Roman"/>
          <w:b w:val="0"/>
          <w:bCs w:val="0"/>
          <w:color w:val="auto"/>
          <w:kern w:val="2"/>
          <w:sz w:val="32"/>
          <w:szCs w:val="32"/>
          <w:highlight w:val="none"/>
          <w:u w:val="none"/>
          <w:lang w:val="en-US" w:eastAsia="zh-CN" w:bidi="ar-SA"/>
        </w:rPr>
        <w:t>全区</w:t>
      </w:r>
      <w:r>
        <w:rPr>
          <w:rFonts w:hint="default" w:ascii="Times New Roman" w:hAnsi="Times New Roman" w:eastAsia="仿宋_GB2312" w:cs="Times New Roman"/>
          <w:b w:val="0"/>
          <w:bCs w:val="0"/>
          <w:color w:val="auto"/>
          <w:kern w:val="2"/>
          <w:sz w:val="32"/>
          <w:szCs w:val="32"/>
          <w:highlight w:val="none"/>
          <w:u w:val="none"/>
          <w:lang w:val="en-US" w:eastAsia="zh-CN" w:bidi="ar-SA"/>
        </w:rPr>
        <w:t>施工项目现场全面实现建筑垃圾分类管理；各城市初步建立全过程管理的建筑垃圾综合治理体系，基本形成建筑垃圾减量化、无害化、资源化利用和产业发展体系。到2025年底，全区各城市建筑垃圾综合利用率不低于50%。</w:t>
      </w:r>
    </w:p>
    <w:p w14:paraId="5EB1188C">
      <w:pPr>
        <w:pStyle w:val="25"/>
        <w:pageBreakBefore w:val="0"/>
        <w:kinsoku/>
        <w:wordWrap/>
        <w:topLinePunct w:val="0"/>
        <w:bidi w:val="0"/>
        <w:spacing w:beforeAutospacing="0" w:afterAutospacing="0" w:line="560" w:lineRule="exact"/>
        <w:ind w:left="0" w:leftChars="0"/>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b/>
          <w:bCs/>
          <w:color w:val="auto"/>
          <w:kern w:val="2"/>
          <w:sz w:val="32"/>
          <w:szCs w:val="32"/>
          <w:highlight w:val="none"/>
          <w:u w:val="none"/>
          <w:lang w:val="en-US" w:eastAsia="zh-CN" w:bidi="ar-SA"/>
        </w:rPr>
        <w:t>《融安县国土空间总体规划（2021</w:t>
      </w:r>
      <w:r>
        <w:rPr>
          <w:rFonts w:hint="eastAsia" w:ascii="Times New Roman" w:hAnsi="Times New Roman" w:eastAsia="仿宋_GB2312" w:cs="Times New Roman"/>
          <w:b/>
          <w:bCs/>
          <w:color w:val="auto"/>
          <w:kern w:val="2"/>
          <w:sz w:val="32"/>
          <w:szCs w:val="32"/>
          <w:highlight w:val="none"/>
          <w:u w:val="none"/>
          <w:lang w:val="en-US" w:eastAsia="zh-CN" w:bidi="ar-SA"/>
        </w:rPr>
        <w:t>—</w:t>
      </w:r>
      <w:r>
        <w:rPr>
          <w:rFonts w:hint="default" w:ascii="Times New Roman" w:hAnsi="Times New Roman" w:eastAsia="仿宋_GB2312" w:cs="Times New Roman"/>
          <w:b/>
          <w:bCs/>
          <w:color w:val="auto"/>
          <w:kern w:val="2"/>
          <w:sz w:val="32"/>
          <w:szCs w:val="32"/>
          <w:highlight w:val="none"/>
          <w:u w:val="none"/>
          <w:lang w:val="en-US" w:eastAsia="zh-CN" w:bidi="ar-SA"/>
        </w:rPr>
        <w:t>2035年）》：</w:t>
      </w:r>
      <w:r>
        <w:rPr>
          <w:rFonts w:hint="default" w:ascii="Times New Roman" w:hAnsi="Times New Roman" w:eastAsia="仿宋_GB2312" w:cs="Times New Roman"/>
          <w:color w:val="auto"/>
          <w:sz w:val="32"/>
          <w:szCs w:val="32"/>
          <w:highlight w:val="none"/>
          <w:u w:val="none"/>
          <w:lang w:val="en-US" w:eastAsia="zh-CN"/>
        </w:rPr>
        <w:t>规划按每人每日产生1.0</w:t>
      </w:r>
      <w:r>
        <w:rPr>
          <w:rFonts w:hint="eastAsia" w:ascii="仿宋_GB2312" w:hAnsi="仿宋_GB2312" w:eastAsia="仿宋_GB2312" w:cs="仿宋_GB2312"/>
          <w:color w:val="auto"/>
          <w:sz w:val="32"/>
          <w:szCs w:val="32"/>
          <w:highlight w:val="none"/>
          <w:u w:val="none"/>
          <w:lang w:val="en-US" w:eastAsia="zh-CN"/>
        </w:rPr>
        <w:t>—</w:t>
      </w:r>
      <w:r>
        <w:rPr>
          <w:rFonts w:hint="default" w:ascii="Times New Roman" w:hAnsi="Times New Roman" w:eastAsia="仿宋_GB2312" w:cs="Times New Roman"/>
          <w:color w:val="auto"/>
          <w:sz w:val="32"/>
          <w:szCs w:val="32"/>
          <w:highlight w:val="none"/>
          <w:u w:val="none"/>
          <w:lang w:val="en-US" w:eastAsia="zh-CN"/>
        </w:rPr>
        <w:t>1.2kg的生活垃圾计算，规划人口变动系数为1.02</w:t>
      </w:r>
      <w:r>
        <w:rPr>
          <w:rFonts w:hint="eastAsia" w:ascii="仿宋_GB2312" w:hAnsi="仿宋_GB2312" w:eastAsia="仿宋_GB2312" w:cs="仿宋_GB2312"/>
          <w:color w:val="auto"/>
          <w:sz w:val="32"/>
          <w:szCs w:val="32"/>
          <w:highlight w:val="none"/>
          <w:u w:val="none"/>
          <w:lang w:val="en-US" w:eastAsia="zh-CN"/>
        </w:rPr>
        <w:t>—</w:t>
      </w:r>
      <w:r>
        <w:rPr>
          <w:rFonts w:hint="default" w:ascii="Times New Roman" w:hAnsi="Times New Roman" w:eastAsia="仿宋_GB2312" w:cs="Times New Roman"/>
          <w:color w:val="auto"/>
          <w:sz w:val="32"/>
          <w:szCs w:val="32"/>
          <w:highlight w:val="none"/>
          <w:u w:val="none"/>
          <w:lang w:val="en-US" w:eastAsia="zh-CN"/>
        </w:rPr>
        <w:t>1.05，则预测垃圾平均日产生量近期为265</w:t>
      </w:r>
      <w:r>
        <w:rPr>
          <w:rFonts w:hint="eastAsia" w:ascii="仿宋_GB2312" w:hAnsi="仿宋_GB2312" w:eastAsia="仿宋_GB2312" w:cs="仿宋_GB2312"/>
          <w:color w:val="auto"/>
          <w:sz w:val="32"/>
          <w:szCs w:val="32"/>
          <w:highlight w:val="none"/>
          <w:u w:val="none"/>
          <w:lang w:val="en-US" w:eastAsia="zh-CN"/>
        </w:rPr>
        <w:t>—</w:t>
      </w:r>
      <w:r>
        <w:rPr>
          <w:rFonts w:hint="default" w:ascii="Times New Roman" w:hAnsi="Times New Roman" w:eastAsia="仿宋_GB2312" w:cs="Times New Roman"/>
          <w:color w:val="auto"/>
          <w:sz w:val="32"/>
          <w:szCs w:val="32"/>
          <w:highlight w:val="none"/>
          <w:u w:val="none"/>
          <w:lang w:val="en-US" w:eastAsia="zh-CN"/>
        </w:rPr>
        <w:t>328吨、远期为306</w:t>
      </w:r>
      <w:r>
        <w:rPr>
          <w:rFonts w:hint="eastAsia" w:ascii="仿宋_GB2312" w:hAnsi="仿宋_GB2312" w:eastAsia="仿宋_GB2312" w:cs="仿宋_GB2312"/>
          <w:color w:val="auto"/>
          <w:sz w:val="32"/>
          <w:szCs w:val="32"/>
          <w:highlight w:val="none"/>
          <w:u w:val="none"/>
          <w:lang w:val="en-US" w:eastAsia="zh-CN"/>
        </w:rPr>
        <w:t>—</w:t>
      </w:r>
      <w:r>
        <w:rPr>
          <w:rFonts w:hint="default" w:ascii="Times New Roman" w:hAnsi="Times New Roman" w:eastAsia="仿宋_GB2312" w:cs="Times New Roman"/>
          <w:color w:val="auto"/>
          <w:sz w:val="32"/>
          <w:szCs w:val="32"/>
          <w:highlight w:val="none"/>
          <w:u w:val="none"/>
          <w:lang w:val="en-US" w:eastAsia="zh-CN"/>
        </w:rPr>
        <w:t>378吨。保留融安县大乐村七星冲垃圾填埋场，并对其进行扩容。在浮石片区南部新建一座生活垃圾焚烧发电厂，服务范围涵盖融安县、融水苗族自治县、柳城县。在融安县主城区建设4座中型垃圾转运站，浮石片区设置3座中型生活垃圾转运站，另在浮石工业片区设置1处中型工业垃圾转运站。近期内实现垃圾无害化处理，进行城市生活垃圾分类收集、处理试点工作的开展。远期实现对垃圾的产生、收运、贮存、再利用、最终处置实行全过程管理，达到减量化、无害化、资源化的目标。在大良镇、板榄镇、泗顶镇设置小型垃圾转运站</w:t>
      </w:r>
      <w:r>
        <w:rPr>
          <w:rFonts w:hint="eastAsia" w:ascii="Times New Roman" w:hAnsi="Times New Roman" w:eastAsia="仿宋_GB2312" w:cs="Times New Roman"/>
          <w:color w:val="auto"/>
          <w:sz w:val="32"/>
          <w:szCs w:val="32"/>
          <w:highlight w:val="none"/>
          <w:u w:val="none"/>
          <w:lang w:val="en-US" w:eastAsia="zh-CN"/>
        </w:rPr>
        <w:t>，</w:t>
      </w:r>
      <w:r>
        <w:rPr>
          <w:rFonts w:hint="default" w:ascii="Times New Roman" w:hAnsi="Times New Roman" w:eastAsia="仿宋_GB2312" w:cs="Times New Roman"/>
          <w:color w:val="auto"/>
          <w:sz w:val="32"/>
          <w:szCs w:val="32"/>
          <w:highlight w:val="none"/>
          <w:u w:val="none"/>
          <w:lang w:val="en-US" w:eastAsia="zh-CN"/>
        </w:rPr>
        <w:t>其他乡镇为临时转运点。规划垃圾转运站，每处用地面积不小于1500平方米。完善各乡</w:t>
      </w:r>
      <w:r>
        <w:rPr>
          <w:rFonts w:hint="eastAsia" w:ascii="Times New Roman" w:hAnsi="Times New Roman" w:eastAsia="仿宋_GB2312" w:cs="Times New Roman"/>
          <w:color w:val="auto"/>
          <w:sz w:val="32"/>
          <w:szCs w:val="32"/>
          <w:highlight w:val="none"/>
          <w:u w:val="none"/>
          <w:lang w:val="en-US" w:eastAsia="zh-CN"/>
        </w:rPr>
        <w:t>（</w:t>
      </w:r>
      <w:r>
        <w:rPr>
          <w:rFonts w:hint="default" w:ascii="Times New Roman" w:hAnsi="Times New Roman" w:eastAsia="仿宋_GB2312" w:cs="Times New Roman"/>
          <w:color w:val="auto"/>
          <w:sz w:val="32"/>
          <w:szCs w:val="32"/>
          <w:highlight w:val="none"/>
          <w:u w:val="none"/>
          <w:lang w:val="en-US" w:eastAsia="zh-CN"/>
        </w:rPr>
        <w:t>镇</w:t>
      </w:r>
      <w:r>
        <w:rPr>
          <w:rFonts w:hint="eastAsia" w:ascii="Times New Roman" w:hAnsi="Times New Roman" w:eastAsia="仿宋_GB2312" w:cs="Times New Roman"/>
          <w:color w:val="auto"/>
          <w:sz w:val="32"/>
          <w:szCs w:val="32"/>
          <w:highlight w:val="none"/>
          <w:u w:val="none"/>
          <w:lang w:val="en-US" w:eastAsia="zh-CN"/>
        </w:rPr>
        <w:t>）</w:t>
      </w:r>
      <w:r>
        <w:rPr>
          <w:rFonts w:hint="default" w:ascii="Times New Roman" w:hAnsi="Times New Roman" w:eastAsia="仿宋_GB2312" w:cs="Times New Roman"/>
          <w:color w:val="auto"/>
          <w:sz w:val="32"/>
          <w:szCs w:val="32"/>
          <w:highlight w:val="none"/>
          <w:u w:val="none"/>
          <w:lang w:val="en-US" w:eastAsia="zh-CN"/>
        </w:rPr>
        <w:t>垃圾转运站设施，规划将垃圾集中分类后运往县城或附近大型垃圾处理厂填埋处理。远期或远景期应实现垃圾分类投放，以便充分提高垃圾回收利用比例，将未利用垃圾运往七星冲垃圾填埋场或生活垃圾焚烧发电厂进行无害化处理。</w:t>
      </w:r>
    </w:p>
    <w:p w14:paraId="3297F954">
      <w:pPr>
        <w:pStyle w:val="25"/>
        <w:pageBreakBefore w:val="0"/>
        <w:kinsoku/>
        <w:wordWrap/>
        <w:topLinePunct w:val="0"/>
        <w:bidi w:val="0"/>
        <w:spacing w:beforeAutospacing="0" w:afterAutospacing="0" w:line="560" w:lineRule="exact"/>
        <w:ind w:left="0" w:leftChars="0"/>
        <w:rPr>
          <w:rFonts w:hint="default" w:ascii="Times New Roman" w:hAnsi="Times New Roman" w:eastAsia="仿宋_GB2312" w:cs="Times New Roman"/>
          <w:kern w:val="2"/>
          <w:sz w:val="32"/>
          <w:szCs w:val="32"/>
          <w:highlight w:val="none"/>
          <w:lang w:val="en-US" w:eastAsia="zh-CN" w:bidi="ar-SA"/>
        </w:rPr>
      </w:pPr>
      <w:bookmarkStart w:id="30" w:name="_Toc23407"/>
      <w:r>
        <w:rPr>
          <w:rFonts w:hint="default" w:ascii="Times New Roman" w:hAnsi="Times New Roman" w:eastAsia="仿宋_GB2312" w:cs="Times New Roman"/>
          <w:b/>
          <w:bCs/>
          <w:kern w:val="2"/>
          <w:sz w:val="32"/>
          <w:szCs w:val="32"/>
          <w:highlight w:val="none"/>
          <w:lang w:val="en-US" w:eastAsia="zh-CN" w:bidi="ar-SA"/>
        </w:rPr>
        <w:t>《融安县城市环卫专项规划（2013</w:t>
      </w:r>
      <w:r>
        <w:rPr>
          <w:rFonts w:hint="eastAsia" w:ascii="Times New Roman" w:hAnsi="Times New Roman" w:eastAsia="仿宋_GB2312" w:cs="Times New Roman"/>
          <w:b/>
          <w:bCs/>
          <w:kern w:val="2"/>
          <w:sz w:val="32"/>
          <w:szCs w:val="32"/>
          <w:highlight w:val="none"/>
          <w:lang w:val="en-US" w:eastAsia="zh-CN" w:bidi="ar-SA"/>
        </w:rPr>
        <w:t>—</w:t>
      </w:r>
      <w:r>
        <w:rPr>
          <w:rFonts w:hint="default" w:ascii="Times New Roman" w:hAnsi="Times New Roman" w:eastAsia="仿宋_GB2312" w:cs="Times New Roman"/>
          <w:b/>
          <w:bCs/>
          <w:kern w:val="2"/>
          <w:sz w:val="32"/>
          <w:szCs w:val="32"/>
          <w:highlight w:val="none"/>
          <w:lang w:val="en-US" w:eastAsia="zh-CN" w:bidi="ar-SA"/>
        </w:rPr>
        <w:t>2030）》：</w:t>
      </w:r>
      <w:r>
        <w:rPr>
          <w:rFonts w:hint="default" w:ascii="Times New Roman" w:hAnsi="Times New Roman" w:eastAsia="仿宋_GB2312" w:cs="Times New Roman"/>
          <w:kern w:val="2"/>
          <w:sz w:val="32"/>
          <w:szCs w:val="32"/>
          <w:highlight w:val="none"/>
          <w:lang w:val="en-US" w:eastAsia="zh-CN" w:bidi="ar-SA"/>
        </w:rPr>
        <w:t>要推行生活垃圾分类收集，通过有效管理，尽可能地提高可回收物的利用，实施源头减量。完善固体废物收运体系，按标准建设一批与处理处置设施相配套的大中型垃圾转运站，实施城镇生活垃圾收集系统全覆盖。提高生活垃圾无害化处理水平，坚持因地制宜、技术可行、设备可靠、适度规模、综合治理和利用的原则，选择先进的处理技术和设备，同时应采用多种技术有机组合，通过构筑环境卫生治理和管理的政府行政体系、市场信息运行体系、社会参与体系和突发事件应急体系，建立起城市环境卫生体系。</w:t>
      </w:r>
    </w:p>
    <w:p w14:paraId="395B6CDF">
      <w:pPr>
        <w:pStyle w:val="25"/>
        <w:pageBreakBefore w:val="0"/>
        <w:kinsoku/>
        <w:wordWrap/>
        <w:topLinePunct w:val="0"/>
        <w:bidi w:val="0"/>
        <w:spacing w:beforeAutospacing="0" w:afterAutospacing="0" w:line="560" w:lineRule="exact"/>
        <w:ind w:left="0" w:leftChars="0"/>
        <w:rPr>
          <w:rFonts w:hint="default" w:ascii="Times New Roman" w:hAnsi="Times New Roman" w:eastAsia="仿宋_GB2312" w:cs="Times New Roman"/>
          <w:sz w:val="32"/>
          <w:szCs w:val="32"/>
          <w:highlight w:val="none"/>
          <w:lang w:val="en-US"/>
        </w:rPr>
      </w:pPr>
      <w:r>
        <w:rPr>
          <w:rFonts w:hint="default" w:ascii="Times New Roman" w:hAnsi="Times New Roman" w:eastAsia="仿宋_GB2312" w:cs="Times New Roman"/>
          <w:b/>
          <w:bCs/>
          <w:kern w:val="2"/>
          <w:sz w:val="32"/>
          <w:szCs w:val="32"/>
          <w:highlight w:val="none"/>
          <w:lang w:val="en-US" w:eastAsia="zh-CN" w:bidi="ar-SA"/>
        </w:rPr>
        <w:t>《柳州市生态环境保护</w:t>
      </w:r>
      <w:r>
        <w:rPr>
          <w:rFonts w:hint="eastAsia" w:ascii="仿宋_GB2312" w:hAnsi="仿宋_GB2312" w:eastAsia="仿宋_GB2312" w:cs="仿宋_GB2312"/>
          <w:b/>
          <w:bCs/>
          <w:kern w:val="2"/>
          <w:sz w:val="32"/>
          <w:szCs w:val="32"/>
          <w:highlight w:val="none"/>
          <w:lang w:val="en-US" w:eastAsia="zh-CN" w:bidi="ar-SA"/>
        </w:rPr>
        <w:t>“</w:t>
      </w:r>
      <w:r>
        <w:rPr>
          <w:rFonts w:hint="default" w:ascii="Times New Roman" w:hAnsi="Times New Roman" w:eastAsia="仿宋_GB2312" w:cs="Times New Roman"/>
          <w:b/>
          <w:bCs/>
          <w:kern w:val="2"/>
          <w:sz w:val="32"/>
          <w:szCs w:val="32"/>
          <w:highlight w:val="none"/>
          <w:lang w:val="en-US" w:eastAsia="zh-CN" w:bidi="ar-SA"/>
        </w:rPr>
        <w:t>十四五</w:t>
      </w:r>
      <w:r>
        <w:rPr>
          <w:rFonts w:hint="eastAsia" w:ascii="仿宋_GB2312" w:hAnsi="仿宋_GB2312" w:eastAsia="仿宋_GB2312" w:cs="仿宋_GB2312"/>
          <w:b/>
          <w:bCs/>
          <w:kern w:val="2"/>
          <w:sz w:val="32"/>
          <w:szCs w:val="32"/>
          <w:highlight w:val="none"/>
          <w:lang w:val="en-US" w:eastAsia="zh-CN" w:bidi="ar-SA"/>
        </w:rPr>
        <w:t>”</w:t>
      </w:r>
      <w:r>
        <w:rPr>
          <w:rFonts w:hint="default" w:ascii="Times New Roman" w:hAnsi="Times New Roman" w:eastAsia="仿宋_GB2312" w:cs="Times New Roman"/>
          <w:b/>
          <w:bCs/>
          <w:kern w:val="2"/>
          <w:sz w:val="32"/>
          <w:szCs w:val="32"/>
          <w:highlight w:val="none"/>
          <w:lang w:val="en-US" w:eastAsia="zh-CN" w:bidi="ar-SA"/>
        </w:rPr>
        <w:t>规划》</w:t>
      </w:r>
      <w:r>
        <w:rPr>
          <w:rFonts w:hint="default" w:ascii="Times New Roman" w:hAnsi="Times New Roman" w:eastAsia="仿宋_GB2312" w:cs="Times New Roman"/>
          <w:kern w:val="2"/>
          <w:sz w:val="32"/>
          <w:szCs w:val="32"/>
          <w:highlight w:val="none"/>
          <w:lang w:val="en-US" w:eastAsia="zh-CN" w:bidi="ar-SA"/>
        </w:rPr>
        <w:t>：到2025年，全市生态环境质量持续改善，城区和县城空气质量达到自治区考核要求，地表水质量稳居全国前列，县级以上城市黑臭水体全部消除，土地和地下水环境质量总体保持稳定，固体废物与化学品环境风险防控能力明显增强。城市噪声与油烟污染问题得到有效控制。</w:t>
      </w:r>
    </w:p>
    <w:p w14:paraId="19FA4EBB">
      <w:pPr>
        <w:pStyle w:val="2"/>
        <w:pageBreakBefore w:val="0"/>
        <w:kinsoku/>
        <w:wordWrap/>
        <w:overflowPunct/>
        <w:topLinePunct w:val="0"/>
        <w:autoSpaceDE/>
        <w:autoSpaceDN/>
        <w:bidi w:val="0"/>
        <w:adjustRightInd/>
        <w:spacing w:before="0" w:beforeLines="0" w:beforeAutospacing="0" w:after="0" w:afterLines="0" w:afterAutospacing="0" w:line="560" w:lineRule="exact"/>
        <w:ind w:firstLine="640" w:firstLineChars="200"/>
        <w:jc w:val="both"/>
        <w:textAlignment w:val="auto"/>
        <w:rPr>
          <w:rFonts w:hint="eastAsia" w:ascii="仿宋_GB2312" w:hAnsi="仿宋_GB2312" w:eastAsia="仿宋_GB2312" w:cs="仿宋_GB2312"/>
          <w:color w:val="auto"/>
          <w:sz w:val="32"/>
          <w:szCs w:val="32"/>
          <w:u w:val="none"/>
          <w:lang w:val="en-US" w:eastAsia="zh-CN"/>
        </w:rPr>
      </w:pPr>
      <w:bookmarkStart w:id="31" w:name="_Toc15791"/>
      <w:bookmarkStart w:id="32" w:name="_Toc27616"/>
      <w:r>
        <w:rPr>
          <w:rFonts w:hint="eastAsia" w:ascii="黑体" w:hAnsi="黑体" w:eastAsia="黑体" w:cs="黑体"/>
          <w:b w:val="0"/>
          <w:bCs/>
          <w:color w:val="auto"/>
          <w:sz w:val="32"/>
          <w:szCs w:val="32"/>
          <w:u w:val="none"/>
          <w:lang w:val="en-US" w:eastAsia="zh-CN"/>
        </w:rPr>
        <w:t>三、规划目标</w:t>
      </w:r>
      <w:bookmarkEnd w:id="30"/>
      <w:bookmarkEnd w:id="31"/>
      <w:bookmarkEnd w:id="32"/>
    </w:p>
    <w:p w14:paraId="54B5868E">
      <w:pPr>
        <w:pStyle w:val="3"/>
        <w:pageBreakBefore w:val="0"/>
        <w:kinsoku/>
        <w:wordWrap/>
        <w:overflowPunct/>
        <w:topLinePunct w:val="0"/>
        <w:autoSpaceDE/>
        <w:autoSpaceDN/>
        <w:bidi w:val="0"/>
        <w:adjustRightInd/>
        <w:spacing w:beforeAutospacing="0" w:afterAutospacing="0" w:line="560" w:lineRule="exact"/>
        <w:ind w:left="0" w:leftChars="0" w:firstLine="640" w:firstLineChars="200"/>
        <w:textAlignment w:val="auto"/>
        <w:rPr>
          <w:rFonts w:hint="eastAsia" w:ascii="仿宋_GB2312" w:hAnsi="仿宋_GB2312" w:eastAsia="仿宋_GB2312" w:cs="仿宋_GB2312"/>
          <w:b w:val="0"/>
          <w:bCs w:val="0"/>
          <w:color w:val="auto"/>
          <w:sz w:val="32"/>
          <w:szCs w:val="32"/>
          <w:u w:val="none"/>
          <w:lang w:val="en-US" w:eastAsia="zh-CN"/>
        </w:rPr>
      </w:pPr>
      <w:bookmarkStart w:id="33" w:name="_Toc972"/>
      <w:bookmarkStart w:id="34" w:name="_Toc14798"/>
      <w:bookmarkStart w:id="35" w:name="_Toc13524"/>
      <w:bookmarkStart w:id="36" w:name="_Toc27921"/>
      <w:r>
        <w:rPr>
          <w:rFonts w:hint="eastAsia" w:ascii="楷体_GB2312" w:hAnsi="楷体_GB2312" w:eastAsia="楷体_GB2312" w:cs="楷体_GB2312"/>
          <w:b w:val="0"/>
          <w:bCs w:val="0"/>
          <w:color w:val="auto"/>
          <w:sz w:val="32"/>
          <w:szCs w:val="32"/>
          <w:u w:val="none"/>
          <w:lang w:val="en-US" w:eastAsia="zh-CN"/>
        </w:rPr>
        <w:t>（一）总体目标</w:t>
      </w:r>
      <w:bookmarkEnd w:id="33"/>
      <w:bookmarkEnd w:id="34"/>
      <w:bookmarkEnd w:id="35"/>
    </w:p>
    <w:p w14:paraId="47A8E742">
      <w:pPr>
        <w:pageBreakBefore w:val="0"/>
        <w:kinsoku/>
        <w:wordWrap/>
        <w:overflowPunct/>
        <w:topLinePunct w:val="0"/>
        <w:autoSpaceDE/>
        <w:autoSpaceDN/>
        <w:bidi w:val="0"/>
        <w:adjustRightInd/>
        <w:spacing w:beforeAutospacing="0" w:afterAutospacing="0" w:line="560" w:lineRule="exact"/>
        <w:ind w:left="0" w:leftChars="0" w:firstLine="640" w:firstLineChars="200"/>
        <w:textAlignment w:val="auto"/>
        <w:rPr>
          <w:rFonts w:hint="eastAsia" w:ascii="仿宋_GB2312" w:hAnsi="仿宋_GB2312" w:eastAsia="仿宋_GB2312" w:cs="仿宋_GB2312"/>
          <w:bCs/>
          <w:color w:val="auto"/>
          <w:sz w:val="32"/>
          <w:szCs w:val="32"/>
          <w:highlight w:val="none"/>
          <w:u w:val="none"/>
        </w:rPr>
      </w:pPr>
      <w:r>
        <w:rPr>
          <w:rFonts w:hint="eastAsia" w:ascii="仿宋_GB2312" w:hAnsi="仿宋_GB2312" w:eastAsia="仿宋_GB2312" w:cs="仿宋_GB2312"/>
          <w:bCs/>
          <w:color w:val="auto"/>
          <w:sz w:val="32"/>
          <w:szCs w:val="32"/>
          <w:highlight w:val="none"/>
          <w:u w:val="none"/>
        </w:rPr>
        <w:t>提高</w:t>
      </w:r>
      <w:r>
        <w:rPr>
          <w:rFonts w:hint="eastAsia" w:ascii="仿宋_GB2312" w:hAnsi="仿宋_GB2312" w:eastAsia="仿宋_GB2312" w:cs="仿宋_GB2312"/>
          <w:bCs/>
          <w:color w:val="auto"/>
          <w:sz w:val="32"/>
          <w:szCs w:val="32"/>
          <w:highlight w:val="none"/>
          <w:u w:val="none"/>
          <w:lang w:val="en-US" w:eastAsia="zh-CN"/>
        </w:rPr>
        <w:t>融安县</w:t>
      </w:r>
      <w:r>
        <w:rPr>
          <w:rFonts w:hint="eastAsia" w:ascii="仿宋_GB2312" w:hAnsi="仿宋_GB2312" w:eastAsia="仿宋_GB2312" w:cs="仿宋_GB2312"/>
          <w:bCs/>
          <w:color w:val="auto"/>
          <w:sz w:val="32"/>
          <w:szCs w:val="32"/>
          <w:highlight w:val="none"/>
          <w:u w:val="none"/>
        </w:rPr>
        <w:t>建筑垃圾处理资源化、减量化、无害化水平,逐步建立</w:t>
      </w:r>
      <w:r>
        <w:rPr>
          <w:rFonts w:hint="eastAsia" w:ascii="仿宋_GB2312" w:hAnsi="仿宋_GB2312" w:eastAsia="仿宋_GB2312" w:cs="仿宋_GB2312"/>
          <w:bCs/>
          <w:color w:val="auto"/>
          <w:sz w:val="32"/>
          <w:szCs w:val="32"/>
          <w:highlight w:val="none"/>
          <w:u w:val="none"/>
          <w:lang w:val="en-US" w:eastAsia="zh-CN"/>
        </w:rPr>
        <w:t>县</w:t>
      </w:r>
      <w:r>
        <w:rPr>
          <w:rFonts w:hint="eastAsia" w:ascii="仿宋_GB2312" w:hAnsi="仿宋_GB2312" w:eastAsia="仿宋_GB2312" w:cs="仿宋_GB2312"/>
          <w:bCs/>
          <w:color w:val="auto"/>
          <w:sz w:val="32"/>
          <w:szCs w:val="32"/>
          <w:highlight w:val="none"/>
          <w:u w:val="none"/>
        </w:rPr>
        <w:t>域统筹、布局合理、技术先进、资源得到有效利用的建筑垃圾处理系统</w:t>
      </w:r>
      <w:r>
        <w:rPr>
          <w:rFonts w:hint="eastAsia" w:ascii="仿宋_GB2312" w:hAnsi="仿宋_GB2312" w:eastAsia="仿宋_GB2312" w:cs="仿宋_GB2312"/>
          <w:bCs/>
          <w:color w:val="auto"/>
          <w:sz w:val="32"/>
          <w:szCs w:val="32"/>
          <w:highlight w:val="none"/>
          <w:u w:val="none"/>
          <w:lang w:eastAsia="zh-CN"/>
        </w:rPr>
        <w:t>；</w:t>
      </w:r>
      <w:r>
        <w:rPr>
          <w:rFonts w:hint="eastAsia" w:ascii="仿宋_GB2312" w:hAnsi="仿宋_GB2312" w:eastAsia="仿宋_GB2312" w:cs="仿宋_GB2312"/>
          <w:bCs/>
          <w:color w:val="auto"/>
          <w:sz w:val="32"/>
          <w:szCs w:val="32"/>
          <w:highlight w:val="none"/>
          <w:u w:val="none"/>
        </w:rPr>
        <w:t>加快构建规范有序、安全卫生、全程可控的建筑垃圾收运系统</w:t>
      </w:r>
      <w:r>
        <w:rPr>
          <w:rFonts w:hint="eastAsia" w:ascii="仿宋_GB2312" w:hAnsi="仿宋_GB2312" w:eastAsia="仿宋_GB2312" w:cs="仿宋_GB2312"/>
          <w:bCs/>
          <w:color w:val="auto"/>
          <w:sz w:val="32"/>
          <w:szCs w:val="32"/>
          <w:highlight w:val="none"/>
          <w:u w:val="none"/>
          <w:lang w:eastAsia="zh-CN"/>
        </w:rPr>
        <w:t>；</w:t>
      </w:r>
      <w:r>
        <w:rPr>
          <w:rFonts w:hint="eastAsia" w:ascii="仿宋_GB2312" w:hAnsi="仿宋_GB2312" w:eastAsia="仿宋_GB2312" w:cs="仿宋_GB2312"/>
          <w:bCs/>
          <w:color w:val="auto"/>
          <w:sz w:val="32"/>
          <w:szCs w:val="32"/>
          <w:highlight w:val="none"/>
          <w:u w:val="none"/>
        </w:rPr>
        <w:t>促进形成链条完整、环境友好、良性发展的建筑垃圾产业体系。着力建设建筑垃圾全过程环境保护与安全卫生管控机制，实现建筑垃圾从产生到消纳的全过程信息化、智能化控制和管理。</w:t>
      </w:r>
    </w:p>
    <w:p w14:paraId="3E64971B">
      <w:pPr>
        <w:pageBreakBefore w:val="0"/>
        <w:kinsoku/>
        <w:wordWrap/>
        <w:overflowPunct/>
        <w:topLinePunct w:val="0"/>
        <w:autoSpaceDE/>
        <w:autoSpaceDN/>
        <w:bidi w:val="0"/>
        <w:adjustRightInd/>
        <w:spacing w:beforeAutospacing="0" w:afterAutospacing="0" w:line="560" w:lineRule="exact"/>
        <w:ind w:left="0" w:leftChars="0" w:firstLine="640" w:firstLineChars="200"/>
        <w:textAlignment w:val="auto"/>
        <w:rPr>
          <w:rFonts w:hint="eastAsia" w:ascii="仿宋_GB2312" w:hAnsi="仿宋_GB2312" w:eastAsia="仿宋_GB2312" w:cs="仿宋_GB2312"/>
          <w:bCs/>
          <w:color w:val="auto"/>
          <w:sz w:val="32"/>
          <w:szCs w:val="32"/>
          <w:highlight w:val="none"/>
          <w:u w:val="none"/>
        </w:rPr>
      </w:pPr>
      <w:r>
        <w:rPr>
          <w:rFonts w:hint="eastAsia" w:ascii="仿宋_GB2312" w:hAnsi="仿宋_GB2312" w:eastAsia="仿宋_GB2312" w:cs="仿宋_GB2312"/>
          <w:bCs/>
          <w:color w:val="auto"/>
          <w:sz w:val="32"/>
          <w:szCs w:val="32"/>
          <w:highlight w:val="none"/>
          <w:u w:val="none"/>
        </w:rPr>
        <w:t>通过科学规划和系统建设，最终建立科学合理的</w:t>
      </w:r>
      <w:r>
        <w:rPr>
          <w:rFonts w:hint="eastAsia" w:ascii="仿宋_GB2312" w:hAnsi="仿宋_GB2312" w:eastAsia="仿宋_GB2312" w:cs="仿宋_GB2312"/>
          <w:bCs/>
          <w:color w:val="auto"/>
          <w:sz w:val="32"/>
          <w:szCs w:val="32"/>
          <w:highlight w:val="none"/>
          <w:u w:val="none"/>
          <w:lang w:val="en-US" w:eastAsia="zh-CN"/>
        </w:rPr>
        <w:t>融安县</w:t>
      </w:r>
      <w:r>
        <w:rPr>
          <w:rFonts w:hint="eastAsia" w:ascii="仿宋_GB2312" w:hAnsi="仿宋_GB2312" w:eastAsia="仿宋_GB2312" w:cs="仿宋_GB2312"/>
          <w:bCs/>
          <w:color w:val="auto"/>
          <w:sz w:val="32"/>
          <w:szCs w:val="32"/>
          <w:highlight w:val="none"/>
          <w:u w:val="none"/>
        </w:rPr>
        <w:t>建筑垃圾治理体系，实现</w:t>
      </w:r>
      <w:r>
        <w:rPr>
          <w:rFonts w:hint="eastAsia" w:ascii="仿宋_GB2312" w:hAnsi="仿宋_GB2312" w:eastAsia="仿宋_GB2312" w:cs="仿宋_GB2312"/>
          <w:bCs/>
          <w:color w:val="auto"/>
          <w:sz w:val="32"/>
          <w:szCs w:val="32"/>
          <w:highlight w:val="none"/>
          <w:u w:val="none"/>
          <w:lang w:val="en-US" w:eastAsia="zh-CN"/>
        </w:rPr>
        <w:t>融安县</w:t>
      </w:r>
      <w:r>
        <w:rPr>
          <w:rFonts w:hint="eastAsia" w:ascii="仿宋_GB2312" w:hAnsi="仿宋_GB2312" w:eastAsia="仿宋_GB2312" w:cs="仿宋_GB2312"/>
          <w:bCs/>
          <w:color w:val="auto"/>
          <w:sz w:val="32"/>
          <w:szCs w:val="32"/>
          <w:highlight w:val="none"/>
          <w:u w:val="none"/>
        </w:rPr>
        <w:t>建筑垃圾的综合利用和科学处置，提升</w:t>
      </w:r>
      <w:r>
        <w:rPr>
          <w:rFonts w:hint="eastAsia" w:ascii="仿宋_GB2312" w:hAnsi="仿宋_GB2312" w:eastAsia="仿宋_GB2312" w:cs="仿宋_GB2312"/>
          <w:bCs/>
          <w:color w:val="auto"/>
          <w:sz w:val="32"/>
          <w:szCs w:val="32"/>
          <w:highlight w:val="none"/>
          <w:u w:val="none"/>
          <w:lang w:val="en-US" w:eastAsia="zh-CN"/>
        </w:rPr>
        <w:t>融安县</w:t>
      </w:r>
      <w:r>
        <w:rPr>
          <w:rFonts w:hint="eastAsia" w:ascii="仿宋_GB2312" w:hAnsi="仿宋_GB2312" w:eastAsia="仿宋_GB2312" w:cs="仿宋_GB2312"/>
          <w:bCs/>
          <w:color w:val="auto"/>
          <w:sz w:val="32"/>
          <w:szCs w:val="32"/>
          <w:highlight w:val="none"/>
          <w:u w:val="none"/>
        </w:rPr>
        <w:t>建筑垃圾资源化利用和安全处置水平</w:t>
      </w:r>
      <w:r>
        <w:rPr>
          <w:rFonts w:hint="eastAsia" w:ascii="仿宋_GB2312" w:hAnsi="仿宋_GB2312" w:eastAsia="仿宋_GB2312" w:cs="仿宋_GB2312"/>
          <w:bCs/>
          <w:sz w:val="32"/>
          <w:szCs w:val="32"/>
          <w:highlight w:val="none"/>
        </w:rPr>
        <w:t>，促进</w:t>
      </w:r>
      <w:r>
        <w:rPr>
          <w:rFonts w:hint="eastAsia" w:ascii="仿宋_GB2312" w:hAnsi="仿宋_GB2312" w:eastAsia="仿宋_GB2312" w:cs="仿宋_GB2312"/>
          <w:bCs/>
          <w:sz w:val="32"/>
          <w:szCs w:val="32"/>
          <w:highlight w:val="none"/>
          <w:lang w:val="en-US" w:eastAsia="zh-CN"/>
        </w:rPr>
        <w:t>县城</w:t>
      </w:r>
      <w:r>
        <w:rPr>
          <w:rFonts w:hint="eastAsia" w:ascii="仿宋_GB2312" w:hAnsi="仿宋_GB2312" w:eastAsia="仿宋_GB2312" w:cs="仿宋_GB2312"/>
          <w:bCs/>
          <w:sz w:val="32"/>
          <w:szCs w:val="32"/>
          <w:highlight w:val="none"/>
        </w:rPr>
        <w:t>发展质量全面提升</w:t>
      </w:r>
      <w:r>
        <w:rPr>
          <w:rFonts w:hint="eastAsia" w:ascii="仿宋_GB2312" w:hAnsi="仿宋_GB2312" w:eastAsia="仿宋_GB2312" w:cs="仿宋_GB2312"/>
          <w:bCs/>
          <w:color w:val="auto"/>
          <w:sz w:val="32"/>
          <w:szCs w:val="32"/>
          <w:highlight w:val="none"/>
          <w:u w:val="none"/>
        </w:rPr>
        <w:t>。</w:t>
      </w:r>
    </w:p>
    <w:p w14:paraId="5DE211F6">
      <w:pPr>
        <w:pStyle w:val="3"/>
        <w:pageBreakBefore w:val="0"/>
        <w:kinsoku/>
        <w:wordWrap/>
        <w:overflowPunct/>
        <w:topLinePunct w:val="0"/>
        <w:autoSpaceDE/>
        <w:autoSpaceDN/>
        <w:bidi w:val="0"/>
        <w:adjustRightInd/>
        <w:spacing w:beforeAutospacing="0" w:afterAutospacing="0" w:line="560" w:lineRule="exact"/>
        <w:ind w:left="0" w:leftChars="0" w:firstLine="640" w:firstLineChars="200"/>
        <w:textAlignment w:val="auto"/>
        <w:rPr>
          <w:rFonts w:hint="eastAsia" w:ascii="楷体_GB2312" w:hAnsi="楷体_GB2312" w:eastAsia="楷体_GB2312" w:cs="楷体_GB2312"/>
          <w:b w:val="0"/>
          <w:bCs w:val="0"/>
          <w:color w:val="auto"/>
          <w:sz w:val="32"/>
          <w:szCs w:val="32"/>
          <w:u w:val="none"/>
          <w:lang w:val="en-US" w:eastAsia="zh-CN"/>
        </w:rPr>
      </w:pPr>
      <w:bookmarkStart w:id="37" w:name="_Toc30966"/>
      <w:bookmarkStart w:id="38" w:name="_Toc10916"/>
      <w:r>
        <w:rPr>
          <w:rFonts w:hint="eastAsia" w:ascii="楷体_GB2312" w:hAnsi="楷体_GB2312" w:eastAsia="楷体_GB2312" w:cs="楷体_GB2312"/>
          <w:b w:val="0"/>
          <w:bCs w:val="0"/>
          <w:color w:val="auto"/>
          <w:sz w:val="32"/>
          <w:szCs w:val="32"/>
          <w:u w:val="none"/>
          <w:lang w:val="en-US" w:eastAsia="zh-CN"/>
        </w:rPr>
        <w:t>（二）规划指标体系</w:t>
      </w:r>
      <w:bookmarkEnd w:id="36"/>
      <w:bookmarkEnd w:id="37"/>
      <w:bookmarkEnd w:id="38"/>
    </w:p>
    <w:p w14:paraId="44767EA8">
      <w:pPr>
        <w:pageBreakBefore w:val="0"/>
        <w:kinsoku/>
        <w:wordWrap/>
        <w:overflowPunct/>
        <w:topLinePunct w:val="0"/>
        <w:autoSpaceDE/>
        <w:autoSpaceDN/>
        <w:bidi w:val="0"/>
        <w:adjustRightInd/>
        <w:spacing w:beforeAutospacing="0" w:afterAutospacing="0" w:line="560" w:lineRule="exact"/>
        <w:ind w:left="0" w:leftChars="0"/>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b w:val="0"/>
          <w:bCs w:val="0"/>
          <w:color w:val="auto"/>
          <w:sz w:val="32"/>
          <w:szCs w:val="32"/>
          <w:u w:val="none"/>
          <w:lang w:val="en-US" w:eastAsia="zh-CN"/>
        </w:rPr>
        <w:t>近期目标</w:t>
      </w:r>
      <w:r>
        <w:rPr>
          <w:rFonts w:hint="default" w:ascii="Times New Roman" w:hAnsi="Times New Roman" w:eastAsia="楷体_GB2312" w:cs="Times New Roman"/>
          <w:b w:val="0"/>
          <w:bCs w:val="0"/>
          <w:color w:val="auto"/>
          <w:sz w:val="32"/>
          <w:szCs w:val="32"/>
          <w:u w:val="none"/>
          <w:lang w:val="en-US" w:eastAsia="zh-CN"/>
        </w:rPr>
        <w:t>（2024</w:t>
      </w:r>
      <w:r>
        <w:rPr>
          <w:rFonts w:hint="eastAsia" w:ascii="Times New Roman" w:hAnsi="Times New Roman" w:eastAsia="楷体_GB2312" w:cs="Times New Roman"/>
          <w:b w:val="0"/>
          <w:bCs w:val="0"/>
          <w:color w:val="auto"/>
          <w:sz w:val="32"/>
          <w:szCs w:val="32"/>
          <w:u w:val="none"/>
          <w:lang w:val="en-US" w:eastAsia="zh-CN"/>
        </w:rPr>
        <w:t>—</w:t>
      </w:r>
      <w:r>
        <w:rPr>
          <w:rFonts w:hint="default" w:ascii="Times New Roman" w:hAnsi="Times New Roman" w:eastAsia="楷体_GB2312" w:cs="Times New Roman"/>
          <w:b w:val="0"/>
          <w:bCs w:val="0"/>
          <w:color w:val="auto"/>
          <w:sz w:val="32"/>
          <w:szCs w:val="32"/>
          <w:u w:val="none"/>
          <w:lang w:val="en-US" w:eastAsia="zh-CN"/>
        </w:rPr>
        <w:t>2030年）</w:t>
      </w:r>
      <w:r>
        <w:rPr>
          <w:rFonts w:hint="eastAsia" w:ascii="仿宋_GB2312" w:hAnsi="仿宋_GB2312" w:eastAsia="仿宋_GB2312" w:cs="仿宋_GB2312"/>
          <w:b w:val="0"/>
          <w:bCs w:val="0"/>
          <w:color w:val="auto"/>
          <w:sz w:val="32"/>
          <w:szCs w:val="32"/>
          <w:u w:val="none"/>
          <w:lang w:val="en-US" w:eastAsia="zh-CN"/>
        </w:rPr>
        <w:t>：重</w:t>
      </w:r>
      <w:r>
        <w:rPr>
          <w:rFonts w:hint="eastAsia" w:ascii="仿宋_GB2312" w:hAnsi="仿宋_GB2312" w:eastAsia="仿宋_GB2312" w:cs="仿宋_GB2312"/>
          <w:color w:val="auto"/>
          <w:sz w:val="32"/>
          <w:szCs w:val="32"/>
          <w:u w:val="none"/>
          <w:lang w:val="en-US" w:eastAsia="zh-CN"/>
        </w:rPr>
        <w:t>点建立和完善</w:t>
      </w:r>
      <w:r>
        <w:rPr>
          <w:rFonts w:hint="eastAsia" w:ascii="仿宋_GB2312" w:hAnsi="仿宋_GB2312" w:eastAsia="仿宋_GB2312" w:cs="仿宋_GB2312"/>
          <w:bCs/>
          <w:color w:val="auto"/>
          <w:sz w:val="32"/>
          <w:szCs w:val="32"/>
          <w:highlight w:val="none"/>
          <w:u w:val="none"/>
          <w:lang w:val="en-US" w:eastAsia="zh-CN"/>
        </w:rPr>
        <w:t>融安县</w:t>
      </w:r>
      <w:r>
        <w:rPr>
          <w:rFonts w:hint="eastAsia" w:ascii="仿宋_GB2312" w:hAnsi="仿宋_GB2312" w:eastAsia="仿宋_GB2312" w:cs="仿宋_GB2312"/>
          <w:color w:val="auto"/>
          <w:sz w:val="32"/>
          <w:szCs w:val="32"/>
          <w:u w:val="none"/>
          <w:lang w:val="en-US" w:eastAsia="zh-CN"/>
        </w:rPr>
        <w:t>建筑垃圾专项运输、专项处理利用体系，加强源头分类、控源减量，实现建筑垃圾从源头到处置的全过程管控；加快提升建筑垃圾规范化分类、收集、运输水平，建立切实可行的建筑垃圾管理机制。</w:t>
      </w:r>
    </w:p>
    <w:p w14:paraId="06D9DE8A">
      <w:pPr>
        <w:pageBreakBefore w:val="0"/>
        <w:kinsoku/>
        <w:wordWrap/>
        <w:overflowPunct/>
        <w:topLinePunct w:val="0"/>
        <w:autoSpaceDE/>
        <w:autoSpaceDN/>
        <w:bidi w:val="0"/>
        <w:adjustRightInd/>
        <w:spacing w:beforeAutospacing="0" w:afterAutospacing="0" w:line="560" w:lineRule="exact"/>
        <w:ind w:left="0" w:leftChars="0"/>
        <w:textAlignment w:val="auto"/>
        <w:rPr>
          <w:rFonts w:hint="eastAsia" w:ascii="仿宋_GB2312" w:hAnsi="仿宋_GB2312" w:eastAsia="仿宋_GB2312" w:cs="仿宋_GB2312"/>
          <w:color w:val="auto"/>
          <w:sz w:val="32"/>
          <w:szCs w:val="32"/>
          <w:highlight w:val="none"/>
          <w:u w:val="none"/>
          <w:lang w:val="en-US" w:eastAsia="zh-CN"/>
        </w:rPr>
      </w:pPr>
      <w:r>
        <w:rPr>
          <w:rFonts w:hint="default" w:ascii="Times New Roman" w:hAnsi="Times New Roman" w:eastAsia="仿宋_GB2312" w:cs="Times New Roman"/>
          <w:b w:val="0"/>
          <w:bCs w:val="0"/>
          <w:color w:val="auto"/>
          <w:sz w:val="32"/>
          <w:szCs w:val="32"/>
          <w:u w:val="none"/>
          <w:lang w:val="en-US" w:eastAsia="zh-CN"/>
        </w:rPr>
        <w:t>远期目标（2031</w:t>
      </w:r>
      <w:r>
        <w:rPr>
          <w:rFonts w:hint="eastAsia" w:eastAsia="楷体_GB2312" w:cs="Times New Roman"/>
          <w:b w:val="0"/>
          <w:bCs w:val="0"/>
          <w:color w:val="auto"/>
          <w:sz w:val="32"/>
          <w:szCs w:val="32"/>
          <w:u w:val="none"/>
          <w:lang w:val="en-US" w:eastAsia="zh-CN"/>
        </w:rPr>
        <w:t>—</w:t>
      </w:r>
      <w:r>
        <w:rPr>
          <w:rFonts w:hint="default" w:ascii="Times New Roman" w:hAnsi="Times New Roman" w:eastAsia="仿宋_GB2312" w:cs="Times New Roman"/>
          <w:b w:val="0"/>
          <w:bCs w:val="0"/>
          <w:color w:val="auto"/>
          <w:sz w:val="32"/>
          <w:szCs w:val="32"/>
          <w:u w:val="none"/>
          <w:lang w:val="en-US" w:eastAsia="zh-CN"/>
        </w:rPr>
        <w:t>2035年）</w:t>
      </w:r>
      <w:r>
        <w:rPr>
          <w:rFonts w:hint="eastAsia" w:ascii="仿宋_GB2312" w:hAnsi="仿宋_GB2312" w:eastAsia="仿宋_GB2312" w:cs="仿宋_GB2312"/>
          <w:b w:val="0"/>
          <w:bCs w:val="0"/>
          <w:color w:val="auto"/>
          <w:sz w:val="32"/>
          <w:szCs w:val="32"/>
          <w:u w:val="none"/>
          <w:lang w:val="en-US" w:eastAsia="zh-CN"/>
        </w:rPr>
        <w:t>：</w:t>
      </w:r>
      <w:r>
        <w:rPr>
          <w:rFonts w:hint="eastAsia" w:ascii="仿宋_GB2312" w:hAnsi="仿宋_GB2312" w:eastAsia="仿宋_GB2312" w:cs="仿宋_GB2312"/>
          <w:color w:val="auto"/>
          <w:sz w:val="32"/>
          <w:szCs w:val="32"/>
          <w:u w:val="none"/>
          <w:lang w:val="en-US" w:eastAsia="zh-CN"/>
        </w:rPr>
        <w:t>建立县域统筹、布局合理、技术先进、资源得到有效利用的建筑垃圾处理系统；建立规范有序、安全卫生、全程可控的建筑垃圾收运系统；形成链条完整、环境友好、良性发展的建筑垃圾产业体系。形成建筑垃圾全过程环境保护与安全卫生管控机制，实现建筑垃圾从产生到消纳的全过程信息化、智</w:t>
      </w:r>
      <w:r>
        <w:rPr>
          <w:rFonts w:hint="eastAsia" w:ascii="仿宋_GB2312" w:hAnsi="仿宋_GB2312" w:eastAsia="仿宋_GB2312" w:cs="仿宋_GB2312"/>
          <w:color w:val="auto"/>
          <w:sz w:val="32"/>
          <w:szCs w:val="32"/>
          <w:highlight w:val="none"/>
          <w:u w:val="none"/>
          <w:lang w:val="en-US" w:eastAsia="zh-CN"/>
        </w:rPr>
        <w:t>能化控制和管理。使</w:t>
      </w:r>
      <w:r>
        <w:rPr>
          <w:rFonts w:hint="eastAsia" w:ascii="仿宋_GB2312" w:hAnsi="仿宋_GB2312" w:eastAsia="仿宋_GB2312" w:cs="仿宋_GB2312"/>
          <w:bCs/>
          <w:color w:val="auto"/>
          <w:sz w:val="32"/>
          <w:szCs w:val="32"/>
          <w:highlight w:val="none"/>
          <w:u w:val="none"/>
          <w:lang w:val="en-US" w:eastAsia="zh-CN"/>
        </w:rPr>
        <w:t>融安县</w:t>
      </w:r>
      <w:r>
        <w:rPr>
          <w:rFonts w:hint="eastAsia" w:ascii="仿宋_GB2312" w:hAnsi="仿宋_GB2312" w:eastAsia="仿宋_GB2312" w:cs="仿宋_GB2312"/>
          <w:color w:val="auto"/>
          <w:sz w:val="32"/>
          <w:szCs w:val="32"/>
          <w:highlight w:val="none"/>
          <w:u w:val="none"/>
          <w:lang w:val="en-US" w:eastAsia="zh-CN"/>
        </w:rPr>
        <w:t>建筑垃圾减量化、资源化、无害化、数字化等指标得到全面提升，</w:t>
      </w:r>
      <w:r>
        <w:rPr>
          <w:rFonts w:hint="eastAsia" w:ascii="仿宋_GB2312" w:hAnsi="仿宋_GB2312" w:eastAsia="仿宋_GB2312" w:cs="仿宋_GB2312"/>
          <w:sz w:val="32"/>
          <w:szCs w:val="32"/>
          <w:highlight w:val="none"/>
          <w:lang w:val="en-US" w:eastAsia="zh-CN"/>
        </w:rPr>
        <w:t>成为全区建筑垃圾治理模范县城</w:t>
      </w:r>
      <w:r>
        <w:rPr>
          <w:rFonts w:hint="eastAsia" w:ascii="仿宋_GB2312" w:hAnsi="仿宋_GB2312" w:eastAsia="仿宋_GB2312" w:cs="仿宋_GB2312"/>
          <w:color w:val="auto"/>
          <w:sz w:val="32"/>
          <w:szCs w:val="32"/>
          <w:highlight w:val="none"/>
          <w:u w:val="none"/>
          <w:lang w:val="en-US" w:eastAsia="zh-CN"/>
        </w:rPr>
        <w:t>。</w:t>
      </w:r>
    </w:p>
    <w:p w14:paraId="78809084">
      <w:pPr>
        <w:pageBreakBefore w:val="0"/>
        <w:kinsoku/>
        <w:wordWrap/>
        <w:overflowPunct/>
        <w:topLinePunct w:val="0"/>
        <w:autoSpaceDE/>
        <w:autoSpaceDN/>
        <w:bidi w:val="0"/>
        <w:adjustRightInd/>
        <w:spacing w:beforeAutospacing="0" w:afterAutospacing="0" w:line="560" w:lineRule="exact"/>
        <w:ind w:left="0" w:leftChars="0"/>
        <w:jc w:val="center"/>
        <w:textAlignment w:val="auto"/>
        <w:rPr>
          <w:rFonts w:ascii="仿宋_GB2312" w:hAnsi="黑体"/>
          <w:b/>
          <w:color w:val="auto"/>
          <w:sz w:val="24"/>
          <w:highlight w:val="none"/>
          <w:u w:val="none"/>
        </w:rPr>
      </w:pPr>
      <w:r>
        <w:rPr>
          <w:rFonts w:hint="eastAsia" w:ascii="仿宋_GB2312" w:hAnsi="仿宋_GB2312" w:eastAsia="仿宋_GB2312" w:cs="仿宋_GB2312"/>
          <w:color w:val="auto"/>
          <w:sz w:val="32"/>
          <w:szCs w:val="32"/>
          <w:highlight w:val="none"/>
          <w:u w:val="none"/>
          <w:lang w:val="en-US" w:eastAsia="zh-CN"/>
        </w:rPr>
        <w:t>表：融安县建筑垃圾污染环境防治规划控制指标</w:t>
      </w:r>
    </w:p>
    <w:tbl>
      <w:tblPr>
        <w:tblStyle w:val="17"/>
        <w:tblW w:w="90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1"/>
        <w:gridCol w:w="1215"/>
        <w:gridCol w:w="3675"/>
        <w:gridCol w:w="1237"/>
        <w:gridCol w:w="1230"/>
        <w:gridCol w:w="954"/>
      </w:tblGrid>
      <w:tr w14:paraId="15F49E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jc w:val="center"/>
        </w:trPr>
        <w:tc>
          <w:tcPr>
            <w:tcW w:w="771" w:type="dxa"/>
            <w:vAlign w:val="center"/>
          </w:tcPr>
          <w:p w14:paraId="56EF0280">
            <w:pPr>
              <w:keepNext w:val="0"/>
              <w:keepLines w:val="0"/>
              <w:pageBreakBefore w:val="0"/>
              <w:widowControl w:val="0"/>
              <w:kinsoku/>
              <w:wordWrap/>
              <w:overflowPunct/>
              <w:topLinePunct w:val="0"/>
              <w:autoSpaceDE/>
              <w:autoSpaceDN/>
              <w:bidi w:val="0"/>
              <w:adjustRightInd/>
              <w:snapToGrid/>
              <w:spacing w:beforeAutospacing="0" w:afterAutospacing="0" w:line="440" w:lineRule="exact"/>
              <w:ind w:left="0" w:leftChars="0" w:firstLine="0" w:firstLineChars="0"/>
              <w:jc w:val="center"/>
              <w:textAlignment w:val="auto"/>
              <w:rPr>
                <w:rFonts w:hint="eastAsia" w:ascii="黑体" w:hAnsi="黑体" w:eastAsia="黑体" w:cs="黑体"/>
                <w:color w:val="auto"/>
                <w:sz w:val="24"/>
                <w:szCs w:val="24"/>
                <w:u w:val="none"/>
                <w:vertAlign w:val="baseline"/>
              </w:rPr>
            </w:pPr>
            <w:r>
              <w:rPr>
                <w:rFonts w:hint="eastAsia" w:ascii="黑体" w:hAnsi="黑体" w:eastAsia="黑体" w:cs="黑体"/>
                <w:color w:val="auto"/>
                <w:sz w:val="24"/>
                <w:szCs w:val="24"/>
                <w:u w:val="none"/>
                <w:vertAlign w:val="baseline"/>
              </w:rPr>
              <w:t>序号</w:t>
            </w:r>
          </w:p>
        </w:tc>
        <w:tc>
          <w:tcPr>
            <w:tcW w:w="1215" w:type="dxa"/>
            <w:vAlign w:val="center"/>
          </w:tcPr>
          <w:p w14:paraId="49698327">
            <w:pPr>
              <w:keepNext w:val="0"/>
              <w:keepLines w:val="0"/>
              <w:pageBreakBefore w:val="0"/>
              <w:widowControl w:val="0"/>
              <w:kinsoku/>
              <w:wordWrap/>
              <w:overflowPunct/>
              <w:topLinePunct w:val="0"/>
              <w:autoSpaceDE/>
              <w:autoSpaceDN/>
              <w:bidi w:val="0"/>
              <w:adjustRightInd/>
              <w:snapToGrid/>
              <w:spacing w:beforeAutospacing="0" w:afterAutospacing="0" w:line="440" w:lineRule="exact"/>
              <w:ind w:left="0" w:leftChars="0" w:firstLine="0" w:firstLineChars="0"/>
              <w:jc w:val="center"/>
              <w:textAlignment w:val="auto"/>
              <w:rPr>
                <w:rFonts w:hint="eastAsia" w:ascii="黑体" w:hAnsi="黑体" w:eastAsia="黑体" w:cs="黑体"/>
                <w:color w:val="auto"/>
                <w:sz w:val="24"/>
                <w:szCs w:val="24"/>
                <w:u w:val="none"/>
                <w:vertAlign w:val="baseline"/>
              </w:rPr>
            </w:pPr>
            <w:r>
              <w:rPr>
                <w:rFonts w:hint="eastAsia" w:ascii="黑体" w:hAnsi="黑体" w:eastAsia="黑体" w:cs="黑体"/>
                <w:color w:val="auto"/>
                <w:sz w:val="24"/>
                <w:szCs w:val="24"/>
                <w:u w:val="none"/>
                <w:vertAlign w:val="baseline"/>
              </w:rPr>
              <w:t>指标类别</w:t>
            </w:r>
          </w:p>
        </w:tc>
        <w:tc>
          <w:tcPr>
            <w:tcW w:w="3675" w:type="dxa"/>
            <w:vAlign w:val="center"/>
          </w:tcPr>
          <w:p w14:paraId="2F40F237">
            <w:pPr>
              <w:keepNext w:val="0"/>
              <w:keepLines w:val="0"/>
              <w:pageBreakBefore w:val="0"/>
              <w:widowControl w:val="0"/>
              <w:kinsoku/>
              <w:wordWrap/>
              <w:overflowPunct/>
              <w:topLinePunct w:val="0"/>
              <w:autoSpaceDE/>
              <w:autoSpaceDN/>
              <w:bidi w:val="0"/>
              <w:adjustRightInd/>
              <w:snapToGrid/>
              <w:spacing w:beforeAutospacing="0" w:afterAutospacing="0" w:line="440" w:lineRule="exact"/>
              <w:ind w:left="0" w:leftChars="0" w:firstLine="0" w:firstLineChars="0"/>
              <w:jc w:val="center"/>
              <w:textAlignment w:val="auto"/>
              <w:rPr>
                <w:rFonts w:hint="eastAsia" w:ascii="黑体" w:hAnsi="黑体" w:eastAsia="黑体" w:cs="黑体"/>
                <w:color w:val="auto"/>
                <w:sz w:val="24"/>
                <w:szCs w:val="24"/>
                <w:u w:val="none"/>
                <w:vertAlign w:val="baseline"/>
              </w:rPr>
            </w:pPr>
            <w:r>
              <w:rPr>
                <w:rFonts w:hint="eastAsia" w:ascii="黑体" w:hAnsi="黑体" w:eastAsia="黑体" w:cs="黑体"/>
                <w:color w:val="auto"/>
                <w:sz w:val="24"/>
                <w:szCs w:val="24"/>
                <w:u w:val="none"/>
                <w:vertAlign w:val="baseline"/>
              </w:rPr>
              <w:t>指标内容</w:t>
            </w:r>
          </w:p>
        </w:tc>
        <w:tc>
          <w:tcPr>
            <w:tcW w:w="1237" w:type="dxa"/>
            <w:vAlign w:val="center"/>
          </w:tcPr>
          <w:p w14:paraId="1C3B2069">
            <w:pPr>
              <w:keepNext w:val="0"/>
              <w:keepLines w:val="0"/>
              <w:pageBreakBefore w:val="0"/>
              <w:widowControl w:val="0"/>
              <w:kinsoku/>
              <w:wordWrap/>
              <w:overflowPunct/>
              <w:topLinePunct w:val="0"/>
              <w:autoSpaceDE/>
              <w:autoSpaceDN/>
              <w:bidi w:val="0"/>
              <w:adjustRightInd/>
              <w:snapToGrid/>
              <w:spacing w:beforeAutospacing="0" w:afterAutospacing="0" w:line="440" w:lineRule="exact"/>
              <w:ind w:left="0" w:leftChars="0" w:firstLine="0" w:firstLineChars="0"/>
              <w:jc w:val="center"/>
              <w:textAlignment w:val="auto"/>
              <w:rPr>
                <w:rFonts w:hint="eastAsia" w:ascii="黑体" w:hAnsi="黑体" w:eastAsia="黑体" w:cs="黑体"/>
                <w:color w:val="auto"/>
                <w:sz w:val="24"/>
                <w:szCs w:val="24"/>
                <w:u w:val="none"/>
                <w:vertAlign w:val="baseline"/>
                <w:lang w:eastAsia="zh-CN"/>
              </w:rPr>
            </w:pPr>
            <w:r>
              <w:rPr>
                <w:rFonts w:hint="eastAsia" w:ascii="黑体" w:hAnsi="黑体" w:eastAsia="黑体" w:cs="黑体"/>
                <w:color w:val="auto"/>
                <w:sz w:val="24"/>
                <w:szCs w:val="24"/>
                <w:u w:val="none"/>
                <w:vertAlign w:val="baseline"/>
                <w:lang w:eastAsia="zh-CN"/>
              </w:rPr>
              <w:t>近期指标</w:t>
            </w:r>
          </w:p>
        </w:tc>
        <w:tc>
          <w:tcPr>
            <w:tcW w:w="1230" w:type="dxa"/>
            <w:vAlign w:val="center"/>
          </w:tcPr>
          <w:p w14:paraId="5C143927">
            <w:pPr>
              <w:keepNext w:val="0"/>
              <w:keepLines w:val="0"/>
              <w:pageBreakBefore w:val="0"/>
              <w:widowControl w:val="0"/>
              <w:kinsoku/>
              <w:wordWrap/>
              <w:overflowPunct/>
              <w:topLinePunct w:val="0"/>
              <w:autoSpaceDE/>
              <w:autoSpaceDN/>
              <w:bidi w:val="0"/>
              <w:adjustRightInd/>
              <w:snapToGrid/>
              <w:spacing w:beforeAutospacing="0" w:afterAutospacing="0" w:line="440" w:lineRule="exact"/>
              <w:ind w:left="0" w:leftChars="0" w:firstLine="0" w:firstLineChars="0"/>
              <w:jc w:val="center"/>
              <w:textAlignment w:val="auto"/>
              <w:rPr>
                <w:rFonts w:hint="eastAsia" w:ascii="黑体" w:hAnsi="黑体" w:eastAsia="黑体" w:cs="黑体"/>
                <w:color w:val="auto"/>
                <w:sz w:val="24"/>
                <w:szCs w:val="24"/>
                <w:u w:val="none"/>
                <w:vertAlign w:val="baseline"/>
              </w:rPr>
            </w:pPr>
            <w:r>
              <w:rPr>
                <w:rFonts w:hint="eastAsia" w:ascii="黑体" w:hAnsi="黑体" w:eastAsia="黑体" w:cs="黑体"/>
                <w:color w:val="auto"/>
                <w:sz w:val="24"/>
                <w:szCs w:val="24"/>
                <w:u w:val="none"/>
                <w:vertAlign w:val="baseline"/>
              </w:rPr>
              <w:t>远期指标</w:t>
            </w:r>
          </w:p>
        </w:tc>
        <w:tc>
          <w:tcPr>
            <w:tcW w:w="954" w:type="dxa"/>
            <w:vAlign w:val="center"/>
          </w:tcPr>
          <w:p w14:paraId="42927E7B">
            <w:pPr>
              <w:keepNext w:val="0"/>
              <w:keepLines w:val="0"/>
              <w:pageBreakBefore w:val="0"/>
              <w:widowControl w:val="0"/>
              <w:kinsoku/>
              <w:wordWrap/>
              <w:overflowPunct/>
              <w:topLinePunct w:val="0"/>
              <w:autoSpaceDE/>
              <w:autoSpaceDN/>
              <w:bidi w:val="0"/>
              <w:adjustRightInd/>
              <w:snapToGrid/>
              <w:spacing w:beforeAutospacing="0" w:afterAutospacing="0" w:line="440" w:lineRule="exact"/>
              <w:ind w:left="0" w:leftChars="0" w:firstLine="0" w:firstLineChars="0"/>
              <w:jc w:val="center"/>
              <w:textAlignment w:val="auto"/>
              <w:rPr>
                <w:rFonts w:hint="eastAsia" w:ascii="黑体" w:hAnsi="黑体" w:eastAsia="黑体" w:cs="黑体"/>
                <w:color w:val="auto"/>
                <w:sz w:val="24"/>
                <w:szCs w:val="24"/>
                <w:u w:val="none"/>
                <w:vertAlign w:val="baseline"/>
              </w:rPr>
            </w:pPr>
            <w:r>
              <w:rPr>
                <w:rFonts w:hint="eastAsia" w:ascii="黑体" w:hAnsi="黑体" w:eastAsia="黑体" w:cs="黑体"/>
                <w:color w:val="auto"/>
                <w:sz w:val="24"/>
                <w:szCs w:val="24"/>
                <w:u w:val="none"/>
                <w:vertAlign w:val="baseline"/>
              </w:rPr>
              <w:t>备注</w:t>
            </w:r>
          </w:p>
        </w:tc>
      </w:tr>
      <w:tr w14:paraId="689667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jc w:val="center"/>
        </w:trPr>
        <w:tc>
          <w:tcPr>
            <w:tcW w:w="771" w:type="dxa"/>
            <w:vAlign w:val="center"/>
          </w:tcPr>
          <w:p w14:paraId="54B43E46">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leftChars="0" w:firstLine="0" w:firstLineChars="0"/>
              <w:jc w:val="center"/>
              <w:textAlignment w:val="auto"/>
              <w:rPr>
                <w:rFonts w:hint="default" w:ascii="Times New Roman" w:hAnsi="Times New Roman" w:eastAsia="华文仿宋" w:cs="Times New Roman"/>
                <w:color w:val="auto"/>
                <w:sz w:val="24"/>
                <w:szCs w:val="24"/>
                <w:u w:val="none"/>
                <w:vertAlign w:val="baseline"/>
              </w:rPr>
            </w:pPr>
            <w:r>
              <w:rPr>
                <w:rFonts w:hint="default" w:ascii="Times New Roman" w:hAnsi="Times New Roman" w:eastAsia="华文仿宋" w:cs="Times New Roman"/>
                <w:color w:val="auto"/>
                <w:sz w:val="24"/>
                <w:szCs w:val="24"/>
                <w:u w:val="none"/>
                <w:vertAlign w:val="baseline"/>
              </w:rPr>
              <w:t>1</w:t>
            </w:r>
          </w:p>
        </w:tc>
        <w:tc>
          <w:tcPr>
            <w:tcW w:w="1215" w:type="dxa"/>
            <w:vMerge w:val="restart"/>
            <w:vAlign w:val="center"/>
          </w:tcPr>
          <w:p w14:paraId="10EEB077">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leftChars="0" w:firstLine="0" w:firstLineChars="0"/>
              <w:jc w:val="center"/>
              <w:textAlignment w:val="auto"/>
              <w:rPr>
                <w:rFonts w:hint="default" w:ascii="Times New Roman" w:hAnsi="Times New Roman" w:eastAsia="华文仿宋" w:cs="Times New Roman"/>
                <w:color w:val="auto"/>
                <w:sz w:val="24"/>
                <w:szCs w:val="24"/>
                <w:u w:val="none"/>
                <w:vertAlign w:val="baseline"/>
              </w:rPr>
            </w:pPr>
            <w:r>
              <w:rPr>
                <w:rFonts w:hint="default" w:ascii="Times New Roman" w:hAnsi="Times New Roman" w:eastAsia="华文仿宋" w:cs="Times New Roman"/>
                <w:color w:val="auto"/>
                <w:sz w:val="24"/>
                <w:szCs w:val="24"/>
                <w:u w:val="none"/>
                <w:vertAlign w:val="baseline"/>
              </w:rPr>
              <w:t>减量化</w:t>
            </w:r>
          </w:p>
        </w:tc>
        <w:tc>
          <w:tcPr>
            <w:tcW w:w="3675" w:type="dxa"/>
            <w:vAlign w:val="center"/>
          </w:tcPr>
          <w:p w14:paraId="0D2F2782">
            <w:pPr>
              <w:keepNext w:val="0"/>
              <w:keepLines w:val="0"/>
              <w:pageBreakBefore w:val="0"/>
              <w:widowControl w:val="0"/>
              <w:kinsoku/>
              <w:wordWrap/>
              <w:overflowPunct/>
              <w:topLinePunct w:val="0"/>
              <w:autoSpaceDE/>
              <w:autoSpaceDN/>
              <w:bidi w:val="0"/>
              <w:adjustRightInd/>
              <w:snapToGrid/>
              <w:spacing w:beforeAutospacing="0" w:afterAutospacing="0" w:line="340" w:lineRule="exact"/>
              <w:ind w:left="0" w:leftChars="0" w:firstLine="0" w:firstLineChars="0"/>
              <w:textAlignment w:val="auto"/>
              <w:rPr>
                <w:rFonts w:hint="default" w:ascii="Times New Roman" w:hAnsi="Times New Roman" w:eastAsia="华文仿宋" w:cs="Times New Roman"/>
                <w:color w:val="auto"/>
                <w:sz w:val="24"/>
                <w:szCs w:val="24"/>
                <w:u w:val="none"/>
                <w:vertAlign w:val="baseline"/>
              </w:rPr>
            </w:pPr>
            <w:r>
              <w:rPr>
                <w:rFonts w:hint="default" w:ascii="Times New Roman" w:hAnsi="Times New Roman" w:eastAsia="华文仿宋" w:cs="Times New Roman"/>
                <w:color w:val="auto"/>
                <w:sz w:val="24"/>
                <w:szCs w:val="24"/>
                <w:u w:val="none"/>
                <w:vertAlign w:val="baseline"/>
              </w:rPr>
              <w:t>新建建筑施工现场建筑垃圾排放量（不包括工程渣土、工程泥浆）（t/万m</w:t>
            </w:r>
            <w:r>
              <w:rPr>
                <w:rFonts w:hint="default" w:ascii="Times New Roman" w:hAnsi="Times New Roman" w:eastAsia="华文仿宋" w:cs="Times New Roman"/>
                <w:color w:val="auto"/>
                <w:sz w:val="24"/>
                <w:szCs w:val="24"/>
                <w:u w:val="none"/>
                <w:vertAlign w:val="superscript"/>
              </w:rPr>
              <w:t>2</w:t>
            </w:r>
            <w:r>
              <w:rPr>
                <w:rFonts w:hint="default" w:ascii="Times New Roman" w:hAnsi="Times New Roman" w:eastAsia="华文仿宋" w:cs="Times New Roman"/>
                <w:color w:val="auto"/>
                <w:sz w:val="24"/>
                <w:szCs w:val="24"/>
                <w:u w:val="none"/>
                <w:vertAlign w:val="baseline"/>
              </w:rPr>
              <w:t>）</w:t>
            </w:r>
          </w:p>
        </w:tc>
        <w:tc>
          <w:tcPr>
            <w:tcW w:w="1237" w:type="dxa"/>
            <w:vAlign w:val="center"/>
          </w:tcPr>
          <w:p w14:paraId="08D55893">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leftChars="0" w:firstLine="0" w:firstLineChars="0"/>
              <w:jc w:val="center"/>
              <w:textAlignment w:val="auto"/>
              <w:rPr>
                <w:rFonts w:hint="default" w:ascii="Times New Roman" w:hAnsi="Times New Roman" w:eastAsia="华文仿宋" w:cs="Times New Roman"/>
                <w:color w:val="auto"/>
                <w:kern w:val="2"/>
                <w:sz w:val="24"/>
                <w:szCs w:val="24"/>
                <w:highlight w:val="none"/>
                <w:u w:val="none"/>
                <w:vertAlign w:val="baseline"/>
                <w:lang w:val="en-US" w:eastAsia="zh-CN" w:bidi="ar-SA"/>
              </w:rPr>
            </w:pPr>
            <w:r>
              <w:rPr>
                <w:rFonts w:hint="default" w:ascii="Times New Roman" w:hAnsi="Times New Roman" w:eastAsia="华文仿宋" w:cs="Times New Roman"/>
                <w:color w:val="auto"/>
                <w:sz w:val="24"/>
                <w:szCs w:val="24"/>
                <w:highlight w:val="none"/>
                <w:u w:val="none"/>
                <w:vertAlign w:val="baseline"/>
              </w:rPr>
              <w:t>≤300</w:t>
            </w:r>
          </w:p>
        </w:tc>
        <w:tc>
          <w:tcPr>
            <w:tcW w:w="1230" w:type="dxa"/>
            <w:vAlign w:val="center"/>
          </w:tcPr>
          <w:p w14:paraId="5BC65E60">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leftChars="0" w:firstLine="0" w:firstLineChars="0"/>
              <w:jc w:val="center"/>
              <w:textAlignment w:val="auto"/>
              <w:rPr>
                <w:rFonts w:hint="default" w:ascii="Times New Roman" w:hAnsi="Times New Roman" w:eastAsia="华文仿宋" w:cs="Times New Roman"/>
                <w:color w:val="auto"/>
                <w:sz w:val="24"/>
                <w:szCs w:val="24"/>
                <w:highlight w:val="none"/>
                <w:u w:val="none"/>
                <w:vertAlign w:val="baseline"/>
              </w:rPr>
            </w:pPr>
            <w:r>
              <w:rPr>
                <w:rFonts w:hint="default" w:ascii="Times New Roman" w:hAnsi="Times New Roman" w:eastAsia="华文仿宋" w:cs="Times New Roman"/>
                <w:color w:val="auto"/>
                <w:sz w:val="24"/>
                <w:szCs w:val="24"/>
                <w:highlight w:val="none"/>
                <w:u w:val="none"/>
                <w:vertAlign w:val="baseline"/>
              </w:rPr>
              <w:t>≤300</w:t>
            </w:r>
          </w:p>
        </w:tc>
        <w:tc>
          <w:tcPr>
            <w:tcW w:w="954" w:type="dxa"/>
            <w:vAlign w:val="center"/>
          </w:tcPr>
          <w:p w14:paraId="50ECDB89">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leftChars="0" w:firstLine="0" w:firstLineChars="0"/>
              <w:jc w:val="center"/>
              <w:textAlignment w:val="auto"/>
              <w:rPr>
                <w:rFonts w:hint="default" w:ascii="Times New Roman" w:hAnsi="Times New Roman" w:eastAsia="华文仿宋" w:cs="Times New Roman"/>
                <w:color w:val="auto"/>
                <w:sz w:val="24"/>
                <w:szCs w:val="24"/>
                <w:u w:val="none"/>
                <w:vertAlign w:val="baseline"/>
              </w:rPr>
            </w:pPr>
            <w:r>
              <w:rPr>
                <w:rFonts w:hint="default" w:ascii="Times New Roman" w:hAnsi="Times New Roman" w:eastAsia="华文仿宋" w:cs="Times New Roman"/>
                <w:color w:val="auto"/>
                <w:sz w:val="24"/>
                <w:szCs w:val="24"/>
                <w:u w:val="none"/>
                <w:vertAlign w:val="baseline"/>
              </w:rPr>
              <w:t>约束性</w:t>
            </w:r>
          </w:p>
        </w:tc>
      </w:tr>
      <w:tr w14:paraId="0DEB78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3" w:hRule="atLeast"/>
          <w:jc w:val="center"/>
        </w:trPr>
        <w:tc>
          <w:tcPr>
            <w:tcW w:w="771" w:type="dxa"/>
            <w:vAlign w:val="center"/>
          </w:tcPr>
          <w:p w14:paraId="24143826">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leftChars="0" w:firstLine="0" w:firstLineChars="0"/>
              <w:jc w:val="center"/>
              <w:textAlignment w:val="auto"/>
              <w:rPr>
                <w:rFonts w:hint="default" w:ascii="Times New Roman" w:hAnsi="Times New Roman" w:eastAsia="华文仿宋" w:cs="Times New Roman"/>
                <w:color w:val="auto"/>
                <w:sz w:val="24"/>
                <w:szCs w:val="24"/>
                <w:u w:val="none"/>
                <w:vertAlign w:val="baseline"/>
              </w:rPr>
            </w:pPr>
            <w:r>
              <w:rPr>
                <w:rFonts w:hint="default" w:ascii="Times New Roman" w:hAnsi="Times New Roman" w:eastAsia="华文仿宋" w:cs="Times New Roman"/>
                <w:color w:val="auto"/>
                <w:sz w:val="24"/>
                <w:szCs w:val="24"/>
                <w:u w:val="none"/>
                <w:vertAlign w:val="baseline"/>
              </w:rPr>
              <w:t>2</w:t>
            </w:r>
          </w:p>
        </w:tc>
        <w:tc>
          <w:tcPr>
            <w:tcW w:w="1215" w:type="dxa"/>
            <w:vMerge w:val="continue"/>
            <w:vAlign w:val="center"/>
          </w:tcPr>
          <w:p w14:paraId="6681CE04">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leftChars="0" w:firstLine="0" w:firstLineChars="0"/>
              <w:jc w:val="center"/>
              <w:textAlignment w:val="auto"/>
              <w:rPr>
                <w:rFonts w:hint="default" w:ascii="Times New Roman" w:hAnsi="Times New Roman" w:eastAsia="华文仿宋" w:cs="Times New Roman"/>
                <w:color w:val="auto"/>
                <w:sz w:val="24"/>
                <w:szCs w:val="24"/>
                <w:u w:val="none"/>
                <w:vertAlign w:val="baseline"/>
              </w:rPr>
            </w:pPr>
          </w:p>
        </w:tc>
        <w:tc>
          <w:tcPr>
            <w:tcW w:w="3675" w:type="dxa"/>
            <w:vAlign w:val="center"/>
          </w:tcPr>
          <w:p w14:paraId="1C4B3A87">
            <w:pPr>
              <w:keepNext w:val="0"/>
              <w:keepLines w:val="0"/>
              <w:pageBreakBefore w:val="0"/>
              <w:widowControl w:val="0"/>
              <w:kinsoku/>
              <w:wordWrap/>
              <w:overflowPunct/>
              <w:topLinePunct w:val="0"/>
              <w:autoSpaceDE/>
              <w:autoSpaceDN/>
              <w:bidi w:val="0"/>
              <w:adjustRightInd/>
              <w:snapToGrid/>
              <w:spacing w:beforeAutospacing="0" w:afterAutospacing="0" w:line="340" w:lineRule="exact"/>
              <w:ind w:left="0" w:leftChars="0" w:firstLine="0" w:firstLineChars="0"/>
              <w:textAlignment w:val="auto"/>
              <w:rPr>
                <w:rFonts w:hint="default" w:ascii="Times New Roman" w:hAnsi="Times New Roman" w:eastAsia="华文仿宋" w:cs="Times New Roman"/>
                <w:color w:val="auto"/>
                <w:sz w:val="24"/>
                <w:szCs w:val="24"/>
                <w:u w:val="none"/>
                <w:vertAlign w:val="baseline"/>
              </w:rPr>
            </w:pPr>
            <w:r>
              <w:rPr>
                <w:rFonts w:hint="default" w:ascii="Times New Roman" w:hAnsi="Times New Roman" w:eastAsia="华文仿宋" w:cs="Times New Roman"/>
                <w:color w:val="auto"/>
                <w:sz w:val="24"/>
                <w:szCs w:val="24"/>
                <w:u w:val="none"/>
                <w:vertAlign w:val="baseline"/>
              </w:rPr>
              <w:t>装配式建筑施工现场建筑垃圾排放量（不包括工程渣土、工程泥浆）（t/万m</w:t>
            </w:r>
            <w:r>
              <w:rPr>
                <w:rFonts w:hint="default" w:ascii="Times New Roman" w:hAnsi="Times New Roman" w:eastAsia="华文仿宋" w:cs="Times New Roman"/>
                <w:color w:val="auto"/>
                <w:sz w:val="24"/>
                <w:szCs w:val="24"/>
                <w:u w:val="none"/>
                <w:vertAlign w:val="superscript"/>
              </w:rPr>
              <w:t>2</w:t>
            </w:r>
            <w:r>
              <w:rPr>
                <w:rFonts w:hint="default" w:ascii="Times New Roman" w:hAnsi="Times New Roman" w:eastAsia="华文仿宋" w:cs="Times New Roman"/>
                <w:color w:val="auto"/>
                <w:sz w:val="24"/>
                <w:szCs w:val="24"/>
                <w:u w:val="none"/>
                <w:vertAlign w:val="baseline"/>
              </w:rPr>
              <w:t>）</w:t>
            </w:r>
          </w:p>
        </w:tc>
        <w:tc>
          <w:tcPr>
            <w:tcW w:w="1237" w:type="dxa"/>
            <w:vAlign w:val="center"/>
          </w:tcPr>
          <w:p w14:paraId="2F60F6D5">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leftChars="0" w:firstLine="0" w:firstLineChars="0"/>
              <w:jc w:val="center"/>
              <w:textAlignment w:val="auto"/>
              <w:rPr>
                <w:rFonts w:hint="default" w:ascii="Times New Roman" w:hAnsi="Times New Roman" w:eastAsia="华文仿宋" w:cs="Times New Roman"/>
                <w:color w:val="auto"/>
                <w:kern w:val="2"/>
                <w:sz w:val="24"/>
                <w:szCs w:val="24"/>
                <w:highlight w:val="none"/>
                <w:u w:val="none"/>
                <w:vertAlign w:val="baseline"/>
                <w:lang w:val="en-US" w:eastAsia="zh-CN" w:bidi="ar-SA"/>
              </w:rPr>
            </w:pPr>
            <w:r>
              <w:rPr>
                <w:rFonts w:hint="default" w:ascii="Times New Roman" w:hAnsi="Times New Roman" w:eastAsia="华文仿宋" w:cs="Times New Roman"/>
                <w:color w:val="auto"/>
                <w:sz w:val="24"/>
                <w:szCs w:val="24"/>
                <w:highlight w:val="none"/>
                <w:u w:val="none"/>
                <w:vertAlign w:val="baseline"/>
              </w:rPr>
              <w:t>≤200</w:t>
            </w:r>
          </w:p>
        </w:tc>
        <w:tc>
          <w:tcPr>
            <w:tcW w:w="1230" w:type="dxa"/>
            <w:vAlign w:val="center"/>
          </w:tcPr>
          <w:p w14:paraId="4A75A223">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leftChars="0" w:firstLine="0" w:firstLineChars="0"/>
              <w:jc w:val="center"/>
              <w:textAlignment w:val="auto"/>
              <w:rPr>
                <w:rFonts w:hint="default" w:ascii="Times New Roman" w:hAnsi="Times New Roman" w:eastAsia="华文仿宋" w:cs="Times New Roman"/>
                <w:color w:val="auto"/>
                <w:sz w:val="24"/>
                <w:szCs w:val="24"/>
                <w:highlight w:val="none"/>
                <w:u w:val="none"/>
                <w:vertAlign w:val="baseline"/>
              </w:rPr>
            </w:pPr>
            <w:r>
              <w:rPr>
                <w:rFonts w:hint="default" w:ascii="Times New Roman" w:hAnsi="Times New Roman" w:eastAsia="华文仿宋" w:cs="Times New Roman"/>
                <w:color w:val="auto"/>
                <w:sz w:val="24"/>
                <w:szCs w:val="24"/>
                <w:highlight w:val="none"/>
                <w:u w:val="none"/>
                <w:vertAlign w:val="baseline"/>
              </w:rPr>
              <w:t>≤200</w:t>
            </w:r>
          </w:p>
        </w:tc>
        <w:tc>
          <w:tcPr>
            <w:tcW w:w="954" w:type="dxa"/>
            <w:vAlign w:val="center"/>
          </w:tcPr>
          <w:p w14:paraId="7770A68F">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leftChars="0" w:firstLine="0" w:firstLineChars="0"/>
              <w:jc w:val="center"/>
              <w:textAlignment w:val="auto"/>
              <w:rPr>
                <w:rFonts w:hint="default" w:ascii="Times New Roman" w:hAnsi="Times New Roman" w:eastAsia="华文仿宋" w:cs="Times New Roman"/>
                <w:color w:val="auto"/>
                <w:sz w:val="24"/>
                <w:szCs w:val="24"/>
                <w:u w:val="none"/>
                <w:vertAlign w:val="baseline"/>
              </w:rPr>
            </w:pPr>
            <w:r>
              <w:rPr>
                <w:rFonts w:hint="default" w:ascii="Times New Roman" w:hAnsi="Times New Roman" w:eastAsia="华文仿宋" w:cs="Times New Roman"/>
                <w:color w:val="auto"/>
                <w:sz w:val="24"/>
                <w:szCs w:val="24"/>
                <w:u w:val="none"/>
                <w:vertAlign w:val="baseline"/>
              </w:rPr>
              <w:t>约束性</w:t>
            </w:r>
          </w:p>
        </w:tc>
      </w:tr>
      <w:tr w14:paraId="09EF83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71" w:type="dxa"/>
            <w:vAlign w:val="center"/>
          </w:tcPr>
          <w:p w14:paraId="0869F773">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leftChars="0" w:firstLine="0" w:firstLineChars="0"/>
              <w:jc w:val="center"/>
              <w:textAlignment w:val="auto"/>
              <w:rPr>
                <w:rFonts w:hint="default" w:ascii="Times New Roman" w:hAnsi="Times New Roman" w:eastAsia="华文仿宋" w:cs="Times New Roman"/>
                <w:color w:val="auto"/>
                <w:sz w:val="24"/>
                <w:szCs w:val="24"/>
                <w:u w:val="none"/>
                <w:vertAlign w:val="baseline"/>
              </w:rPr>
            </w:pPr>
            <w:r>
              <w:rPr>
                <w:rFonts w:hint="default" w:ascii="Times New Roman" w:hAnsi="Times New Roman" w:eastAsia="华文仿宋" w:cs="Times New Roman"/>
                <w:color w:val="auto"/>
                <w:sz w:val="24"/>
                <w:szCs w:val="24"/>
                <w:u w:val="none"/>
                <w:vertAlign w:val="baseline"/>
              </w:rPr>
              <w:t>3</w:t>
            </w:r>
          </w:p>
        </w:tc>
        <w:tc>
          <w:tcPr>
            <w:tcW w:w="1215" w:type="dxa"/>
            <w:vMerge w:val="continue"/>
            <w:vAlign w:val="center"/>
          </w:tcPr>
          <w:p w14:paraId="316F22F5">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leftChars="0" w:firstLine="0" w:firstLineChars="0"/>
              <w:jc w:val="center"/>
              <w:textAlignment w:val="auto"/>
              <w:rPr>
                <w:rFonts w:hint="default" w:ascii="Times New Roman" w:hAnsi="Times New Roman" w:eastAsia="华文仿宋" w:cs="Times New Roman"/>
                <w:color w:val="auto"/>
                <w:sz w:val="24"/>
                <w:szCs w:val="24"/>
                <w:u w:val="none"/>
                <w:vertAlign w:val="baseline"/>
              </w:rPr>
            </w:pPr>
          </w:p>
        </w:tc>
        <w:tc>
          <w:tcPr>
            <w:tcW w:w="3675" w:type="dxa"/>
            <w:vAlign w:val="center"/>
          </w:tcPr>
          <w:p w14:paraId="43C8C08E">
            <w:pPr>
              <w:keepNext w:val="0"/>
              <w:keepLines w:val="0"/>
              <w:pageBreakBefore w:val="0"/>
              <w:widowControl w:val="0"/>
              <w:kinsoku/>
              <w:wordWrap/>
              <w:overflowPunct/>
              <w:topLinePunct w:val="0"/>
              <w:autoSpaceDE/>
              <w:autoSpaceDN/>
              <w:bidi w:val="0"/>
              <w:adjustRightInd/>
              <w:snapToGrid/>
              <w:spacing w:beforeAutospacing="0" w:afterAutospacing="0" w:line="340" w:lineRule="exact"/>
              <w:ind w:left="0" w:leftChars="0" w:firstLine="0" w:firstLineChars="0"/>
              <w:textAlignment w:val="auto"/>
              <w:rPr>
                <w:rFonts w:hint="default" w:ascii="Times New Roman" w:hAnsi="Times New Roman" w:eastAsia="华文仿宋" w:cs="Times New Roman"/>
                <w:color w:val="auto"/>
                <w:sz w:val="24"/>
                <w:szCs w:val="24"/>
                <w:u w:val="none"/>
                <w:vertAlign w:val="baseline"/>
              </w:rPr>
            </w:pPr>
            <w:r>
              <w:rPr>
                <w:rFonts w:hint="default" w:ascii="Times New Roman" w:hAnsi="Times New Roman" w:eastAsia="华文仿宋" w:cs="Times New Roman"/>
                <w:color w:val="auto"/>
                <w:sz w:val="24"/>
                <w:szCs w:val="24"/>
                <w:u w:val="none"/>
                <w:vertAlign w:val="baseline"/>
              </w:rPr>
              <w:t>新开工装配式建筑面积占新建建筑比例（%）</w:t>
            </w:r>
          </w:p>
        </w:tc>
        <w:tc>
          <w:tcPr>
            <w:tcW w:w="1237" w:type="dxa"/>
            <w:vAlign w:val="center"/>
          </w:tcPr>
          <w:p w14:paraId="07368B3B">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leftChars="0" w:firstLine="0" w:firstLineChars="0"/>
              <w:jc w:val="center"/>
              <w:textAlignment w:val="auto"/>
              <w:rPr>
                <w:rFonts w:hint="default" w:ascii="Times New Roman" w:hAnsi="Times New Roman" w:eastAsia="华文仿宋" w:cs="Times New Roman"/>
                <w:color w:val="auto"/>
                <w:kern w:val="2"/>
                <w:sz w:val="24"/>
                <w:szCs w:val="24"/>
                <w:highlight w:val="none"/>
                <w:u w:val="none"/>
                <w:vertAlign w:val="baseline"/>
                <w:lang w:val="en-US" w:eastAsia="zh-CN" w:bidi="ar-SA"/>
              </w:rPr>
            </w:pPr>
            <w:r>
              <w:rPr>
                <w:rFonts w:hint="default" w:ascii="Times New Roman" w:hAnsi="Times New Roman" w:eastAsia="华文仿宋" w:cs="Times New Roman"/>
                <w:color w:val="auto"/>
                <w:sz w:val="24"/>
                <w:szCs w:val="24"/>
                <w:highlight w:val="none"/>
                <w:u w:val="none"/>
                <w:vertAlign w:val="baseline"/>
              </w:rPr>
              <w:t>≥</w:t>
            </w:r>
            <w:r>
              <w:rPr>
                <w:rFonts w:hint="default" w:ascii="Times New Roman" w:hAnsi="Times New Roman" w:eastAsia="华文仿宋" w:cs="Times New Roman"/>
                <w:color w:val="auto"/>
                <w:sz w:val="24"/>
                <w:szCs w:val="24"/>
                <w:highlight w:val="none"/>
                <w:u w:val="none"/>
                <w:vertAlign w:val="baseline"/>
                <w:lang w:val="en-US" w:eastAsia="zh-CN"/>
              </w:rPr>
              <w:t>10</w:t>
            </w:r>
          </w:p>
        </w:tc>
        <w:tc>
          <w:tcPr>
            <w:tcW w:w="1230" w:type="dxa"/>
            <w:vAlign w:val="center"/>
          </w:tcPr>
          <w:p w14:paraId="0CFC99F3">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leftChars="0" w:firstLine="0" w:firstLineChars="0"/>
              <w:jc w:val="center"/>
              <w:textAlignment w:val="auto"/>
              <w:rPr>
                <w:rFonts w:hint="default" w:ascii="Times New Roman" w:hAnsi="Times New Roman" w:eastAsia="华文仿宋" w:cs="Times New Roman"/>
                <w:color w:val="auto"/>
                <w:sz w:val="24"/>
                <w:szCs w:val="24"/>
                <w:highlight w:val="none"/>
                <w:u w:val="none"/>
                <w:vertAlign w:val="baseline"/>
                <w:lang w:val="en-US" w:eastAsia="zh-CN"/>
              </w:rPr>
            </w:pPr>
            <w:r>
              <w:rPr>
                <w:rFonts w:hint="default" w:ascii="Times New Roman" w:hAnsi="Times New Roman" w:eastAsia="华文仿宋" w:cs="Times New Roman"/>
                <w:color w:val="auto"/>
                <w:sz w:val="24"/>
                <w:szCs w:val="24"/>
                <w:highlight w:val="none"/>
                <w:u w:val="none"/>
                <w:vertAlign w:val="baseline"/>
              </w:rPr>
              <w:t>≥</w:t>
            </w:r>
            <w:r>
              <w:rPr>
                <w:rFonts w:hint="default" w:ascii="Times New Roman" w:hAnsi="Times New Roman" w:eastAsia="华文仿宋" w:cs="Times New Roman"/>
                <w:color w:val="auto"/>
                <w:sz w:val="24"/>
                <w:szCs w:val="24"/>
                <w:highlight w:val="none"/>
                <w:u w:val="none"/>
                <w:vertAlign w:val="baseline"/>
                <w:lang w:val="en-US" w:eastAsia="zh-CN"/>
              </w:rPr>
              <w:t>15</w:t>
            </w:r>
          </w:p>
        </w:tc>
        <w:tc>
          <w:tcPr>
            <w:tcW w:w="954" w:type="dxa"/>
            <w:vAlign w:val="center"/>
          </w:tcPr>
          <w:p w14:paraId="0A219D41">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leftChars="0" w:firstLine="0" w:firstLineChars="0"/>
              <w:jc w:val="center"/>
              <w:textAlignment w:val="auto"/>
              <w:rPr>
                <w:rFonts w:hint="default" w:ascii="Times New Roman" w:hAnsi="Times New Roman" w:eastAsia="华文仿宋" w:cs="Times New Roman"/>
                <w:color w:val="auto"/>
                <w:sz w:val="24"/>
                <w:szCs w:val="24"/>
                <w:u w:val="none"/>
                <w:vertAlign w:val="baseline"/>
              </w:rPr>
            </w:pPr>
            <w:r>
              <w:rPr>
                <w:rFonts w:hint="default" w:ascii="Times New Roman" w:hAnsi="Times New Roman" w:eastAsia="华文仿宋" w:cs="Times New Roman"/>
                <w:color w:val="auto"/>
                <w:sz w:val="24"/>
                <w:szCs w:val="24"/>
                <w:u w:val="none"/>
                <w:vertAlign w:val="baseline"/>
              </w:rPr>
              <w:t>预期性</w:t>
            </w:r>
          </w:p>
        </w:tc>
      </w:tr>
      <w:tr w14:paraId="2656E2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3" w:hRule="atLeast"/>
          <w:jc w:val="center"/>
        </w:trPr>
        <w:tc>
          <w:tcPr>
            <w:tcW w:w="771" w:type="dxa"/>
            <w:vAlign w:val="center"/>
          </w:tcPr>
          <w:p w14:paraId="536CAD94">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leftChars="0" w:firstLine="0" w:firstLineChars="0"/>
              <w:jc w:val="center"/>
              <w:textAlignment w:val="auto"/>
              <w:rPr>
                <w:rFonts w:hint="default" w:ascii="Times New Roman" w:hAnsi="Times New Roman" w:eastAsia="华文仿宋" w:cs="Times New Roman"/>
                <w:color w:val="auto"/>
                <w:sz w:val="24"/>
                <w:szCs w:val="24"/>
                <w:u w:val="none"/>
                <w:vertAlign w:val="baseline"/>
              </w:rPr>
            </w:pPr>
            <w:r>
              <w:rPr>
                <w:rFonts w:hint="default" w:ascii="Times New Roman" w:hAnsi="Times New Roman" w:eastAsia="华文仿宋" w:cs="Times New Roman"/>
                <w:color w:val="auto"/>
                <w:sz w:val="24"/>
                <w:szCs w:val="24"/>
                <w:u w:val="none"/>
                <w:vertAlign w:val="baseline"/>
              </w:rPr>
              <w:t>4</w:t>
            </w:r>
          </w:p>
        </w:tc>
        <w:tc>
          <w:tcPr>
            <w:tcW w:w="1215" w:type="dxa"/>
            <w:vMerge w:val="restart"/>
            <w:vAlign w:val="center"/>
          </w:tcPr>
          <w:p w14:paraId="09C22465">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leftChars="0" w:firstLine="0" w:firstLineChars="0"/>
              <w:jc w:val="center"/>
              <w:textAlignment w:val="auto"/>
              <w:rPr>
                <w:rFonts w:hint="default" w:ascii="Times New Roman" w:hAnsi="Times New Roman" w:eastAsia="华文仿宋" w:cs="Times New Roman"/>
                <w:color w:val="auto"/>
                <w:sz w:val="24"/>
                <w:szCs w:val="24"/>
                <w:u w:val="none"/>
                <w:vertAlign w:val="baseline"/>
              </w:rPr>
            </w:pPr>
            <w:r>
              <w:rPr>
                <w:rFonts w:hint="default" w:ascii="Times New Roman" w:hAnsi="Times New Roman" w:eastAsia="华文仿宋" w:cs="Times New Roman"/>
                <w:color w:val="auto"/>
                <w:sz w:val="24"/>
                <w:szCs w:val="24"/>
                <w:u w:val="none"/>
                <w:vertAlign w:val="baseline"/>
              </w:rPr>
              <w:t>资源化</w:t>
            </w:r>
          </w:p>
        </w:tc>
        <w:tc>
          <w:tcPr>
            <w:tcW w:w="3675" w:type="dxa"/>
            <w:vAlign w:val="center"/>
          </w:tcPr>
          <w:p w14:paraId="74A2AED7">
            <w:pPr>
              <w:keepNext w:val="0"/>
              <w:keepLines w:val="0"/>
              <w:pageBreakBefore w:val="0"/>
              <w:widowControl w:val="0"/>
              <w:kinsoku/>
              <w:wordWrap/>
              <w:overflowPunct/>
              <w:topLinePunct w:val="0"/>
              <w:autoSpaceDE/>
              <w:autoSpaceDN/>
              <w:bidi w:val="0"/>
              <w:adjustRightInd/>
              <w:snapToGrid/>
              <w:spacing w:beforeAutospacing="0" w:afterAutospacing="0" w:line="340" w:lineRule="exact"/>
              <w:ind w:left="0" w:leftChars="0" w:firstLine="0" w:firstLineChars="0"/>
              <w:textAlignment w:val="auto"/>
              <w:rPr>
                <w:rFonts w:hint="default" w:ascii="Times New Roman" w:hAnsi="Times New Roman" w:eastAsia="华文仿宋" w:cs="Times New Roman"/>
                <w:color w:val="auto"/>
                <w:sz w:val="24"/>
                <w:szCs w:val="24"/>
                <w:u w:val="none"/>
                <w:vertAlign w:val="baseline"/>
              </w:rPr>
            </w:pPr>
            <w:r>
              <w:rPr>
                <w:rFonts w:hint="default" w:ascii="Times New Roman" w:hAnsi="Times New Roman" w:eastAsia="华文仿宋" w:cs="Times New Roman"/>
                <w:color w:val="auto"/>
                <w:sz w:val="24"/>
                <w:szCs w:val="24"/>
                <w:u w:val="none"/>
                <w:vertAlign w:val="baseline"/>
              </w:rPr>
              <w:t>建筑垃圾综合利用率（%）</w:t>
            </w:r>
          </w:p>
        </w:tc>
        <w:tc>
          <w:tcPr>
            <w:tcW w:w="1237" w:type="dxa"/>
            <w:vAlign w:val="center"/>
          </w:tcPr>
          <w:p w14:paraId="48F7B0C8">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leftChars="0" w:firstLine="0" w:firstLineChars="0"/>
              <w:jc w:val="center"/>
              <w:textAlignment w:val="auto"/>
              <w:rPr>
                <w:rFonts w:hint="default" w:ascii="Times New Roman" w:hAnsi="Times New Roman" w:eastAsia="华文仿宋" w:cs="Times New Roman"/>
                <w:color w:val="auto"/>
                <w:kern w:val="2"/>
                <w:sz w:val="24"/>
                <w:szCs w:val="24"/>
                <w:highlight w:val="none"/>
                <w:u w:val="none"/>
                <w:vertAlign w:val="baseline"/>
                <w:lang w:val="en-US" w:eastAsia="zh-CN" w:bidi="ar-SA"/>
              </w:rPr>
            </w:pPr>
            <w:r>
              <w:rPr>
                <w:rFonts w:hint="default" w:ascii="Times New Roman" w:hAnsi="Times New Roman" w:eastAsia="华文仿宋" w:cs="Times New Roman"/>
                <w:color w:val="auto"/>
                <w:sz w:val="24"/>
                <w:szCs w:val="24"/>
                <w:highlight w:val="none"/>
                <w:u w:val="none"/>
                <w:vertAlign w:val="baseline"/>
              </w:rPr>
              <w:t>≥</w:t>
            </w:r>
            <w:r>
              <w:rPr>
                <w:rFonts w:hint="default" w:ascii="Times New Roman" w:hAnsi="Times New Roman" w:eastAsia="华文仿宋" w:cs="Times New Roman"/>
                <w:color w:val="auto"/>
                <w:sz w:val="24"/>
                <w:szCs w:val="24"/>
                <w:highlight w:val="none"/>
                <w:u w:val="none"/>
                <w:vertAlign w:val="baseline"/>
                <w:lang w:val="en-US" w:eastAsia="zh-CN"/>
              </w:rPr>
              <w:t>30</w:t>
            </w:r>
          </w:p>
        </w:tc>
        <w:tc>
          <w:tcPr>
            <w:tcW w:w="1230" w:type="dxa"/>
            <w:vAlign w:val="center"/>
          </w:tcPr>
          <w:p w14:paraId="57458CB0">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leftChars="0" w:firstLine="0" w:firstLineChars="0"/>
              <w:jc w:val="center"/>
              <w:textAlignment w:val="auto"/>
              <w:rPr>
                <w:rFonts w:hint="default" w:ascii="Times New Roman" w:hAnsi="Times New Roman" w:eastAsia="华文仿宋" w:cs="Times New Roman"/>
                <w:color w:val="auto"/>
                <w:sz w:val="24"/>
                <w:szCs w:val="24"/>
                <w:highlight w:val="none"/>
                <w:u w:val="none"/>
                <w:vertAlign w:val="baseline"/>
                <w:lang w:val="en-US" w:eastAsia="zh-CN"/>
              </w:rPr>
            </w:pPr>
            <w:r>
              <w:rPr>
                <w:rFonts w:hint="default" w:ascii="Times New Roman" w:hAnsi="Times New Roman" w:eastAsia="华文仿宋" w:cs="Times New Roman"/>
                <w:color w:val="auto"/>
                <w:sz w:val="24"/>
                <w:szCs w:val="24"/>
                <w:highlight w:val="none"/>
                <w:u w:val="none"/>
                <w:vertAlign w:val="baseline"/>
              </w:rPr>
              <w:t>≥</w:t>
            </w:r>
            <w:r>
              <w:rPr>
                <w:rFonts w:hint="default" w:ascii="Times New Roman" w:hAnsi="Times New Roman" w:eastAsia="华文仿宋" w:cs="Times New Roman"/>
                <w:color w:val="auto"/>
                <w:sz w:val="24"/>
                <w:szCs w:val="24"/>
                <w:highlight w:val="none"/>
                <w:u w:val="none"/>
                <w:vertAlign w:val="baseline"/>
                <w:lang w:val="en-US" w:eastAsia="zh-CN"/>
              </w:rPr>
              <w:t>50</w:t>
            </w:r>
          </w:p>
        </w:tc>
        <w:tc>
          <w:tcPr>
            <w:tcW w:w="954" w:type="dxa"/>
            <w:vAlign w:val="center"/>
          </w:tcPr>
          <w:p w14:paraId="660610CA">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leftChars="0" w:firstLine="0" w:firstLineChars="0"/>
              <w:jc w:val="center"/>
              <w:textAlignment w:val="auto"/>
              <w:rPr>
                <w:rFonts w:hint="default" w:ascii="Times New Roman" w:hAnsi="Times New Roman" w:eastAsia="华文仿宋" w:cs="Times New Roman"/>
                <w:color w:val="auto"/>
                <w:sz w:val="24"/>
                <w:szCs w:val="24"/>
                <w:u w:val="none"/>
                <w:vertAlign w:val="baseline"/>
              </w:rPr>
            </w:pPr>
            <w:r>
              <w:rPr>
                <w:rFonts w:hint="default" w:ascii="Times New Roman" w:hAnsi="Times New Roman" w:eastAsia="华文仿宋" w:cs="Times New Roman"/>
                <w:color w:val="auto"/>
                <w:sz w:val="24"/>
                <w:szCs w:val="24"/>
                <w:u w:val="none"/>
                <w:vertAlign w:val="baseline"/>
              </w:rPr>
              <w:t>约束性</w:t>
            </w:r>
          </w:p>
        </w:tc>
      </w:tr>
      <w:tr w14:paraId="37905D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jc w:val="center"/>
        </w:trPr>
        <w:tc>
          <w:tcPr>
            <w:tcW w:w="771" w:type="dxa"/>
            <w:vAlign w:val="center"/>
          </w:tcPr>
          <w:p w14:paraId="2D094815">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leftChars="0" w:firstLine="0" w:firstLineChars="0"/>
              <w:jc w:val="center"/>
              <w:textAlignment w:val="auto"/>
              <w:rPr>
                <w:rFonts w:hint="default" w:ascii="Times New Roman" w:hAnsi="Times New Roman" w:eastAsia="华文仿宋" w:cs="Times New Roman"/>
                <w:color w:val="auto"/>
                <w:sz w:val="24"/>
                <w:szCs w:val="24"/>
                <w:u w:val="none"/>
                <w:vertAlign w:val="baseline"/>
              </w:rPr>
            </w:pPr>
            <w:r>
              <w:rPr>
                <w:rFonts w:hint="default" w:ascii="Times New Roman" w:hAnsi="Times New Roman" w:eastAsia="华文仿宋" w:cs="Times New Roman"/>
                <w:color w:val="auto"/>
                <w:sz w:val="24"/>
                <w:szCs w:val="24"/>
                <w:u w:val="none"/>
                <w:vertAlign w:val="baseline"/>
              </w:rPr>
              <w:t>5</w:t>
            </w:r>
          </w:p>
        </w:tc>
        <w:tc>
          <w:tcPr>
            <w:tcW w:w="1215" w:type="dxa"/>
            <w:vMerge w:val="continue"/>
            <w:vAlign w:val="center"/>
          </w:tcPr>
          <w:p w14:paraId="4BC7A374">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leftChars="0" w:firstLine="0" w:firstLineChars="0"/>
              <w:jc w:val="center"/>
              <w:textAlignment w:val="auto"/>
              <w:rPr>
                <w:rFonts w:hint="default" w:ascii="Times New Roman" w:hAnsi="Times New Roman" w:eastAsia="华文仿宋" w:cs="Times New Roman"/>
                <w:color w:val="auto"/>
                <w:sz w:val="24"/>
                <w:szCs w:val="24"/>
                <w:u w:val="none"/>
                <w:vertAlign w:val="baseline"/>
              </w:rPr>
            </w:pPr>
          </w:p>
        </w:tc>
        <w:tc>
          <w:tcPr>
            <w:tcW w:w="3675" w:type="dxa"/>
            <w:vAlign w:val="center"/>
          </w:tcPr>
          <w:p w14:paraId="6905FAD2">
            <w:pPr>
              <w:keepNext w:val="0"/>
              <w:keepLines w:val="0"/>
              <w:pageBreakBefore w:val="0"/>
              <w:widowControl w:val="0"/>
              <w:kinsoku/>
              <w:wordWrap/>
              <w:overflowPunct/>
              <w:topLinePunct w:val="0"/>
              <w:autoSpaceDE/>
              <w:autoSpaceDN/>
              <w:bidi w:val="0"/>
              <w:adjustRightInd/>
              <w:snapToGrid/>
              <w:spacing w:beforeAutospacing="0" w:afterAutospacing="0" w:line="340" w:lineRule="exact"/>
              <w:ind w:left="0" w:leftChars="0" w:firstLine="0" w:firstLineChars="0"/>
              <w:textAlignment w:val="auto"/>
              <w:rPr>
                <w:rFonts w:hint="default" w:ascii="Times New Roman" w:hAnsi="Times New Roman" w:eastAsia="华文仿宋" w:cs="Times New Roman"/>
                <w:color w:val="auto"/>
                <w:sz w:val="24"/>
                <w:szCs w:val="24"/>
                <w:u w:val="none"/>
                <w:vertAlign w:val="baseline"/>
                <w:lang w:eastAsia="zh-CN"/>
              </w:rPr>
            </w:pPr>
            <w:r>
              <w:rPr>
                <w:rFonts w:hint="default" w:ascii="Times New Roman" w:hAnsi="Times New Roman" w:eastAsia="华文仿宋" w:cs="Times New Roman"/>
                <w:color w:val="auto"/>
                <w:sz w:val="24"/>
                <w:szCs w:val="24"/>
                <w:u w:val="none"/>
                <w:vertAlign w:val="baseline"/>
                <w:lang w:eastAsia="zh-CN"/>
              </w:rPr>
              <w:t>建筑垃圾资源化利用率</w:t>
            </w:r>
            <w:r>
              <w:rPr>
                <w:rFonts w:hint="default" w:ascii="Times New Roman" w:hAnsi="Times New Roman" w:eastAsia="华文仿宋" w:cs="Times New Roman"/>
                <w:color w:val="auto"/>
                <w:sz w:val="24"/>
                <w:szCs w:val="24"/>
                <w:u w:val="none"/>
                <w:vertAlign w:val="baseline"/>
              </w:rPr>
              <w:t>（%）</w:t>
            </w:r>
          </w:p>
        </w:tc>
        <w:tc>
          <w:tcPr>
            <w:tcW w:w="1237" w:type="dxa"/>
            <w:vAlign w:val="center"/>
          </w:tcPr>
          <w:p w14:paraId="4344955D">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leftChars="0" w:firstLine="0" w:firstLineChars="0"/>
              <w:jc w:val="center"/>
              <w:textAlignment w:val="auto"/>
              <w:rPr>
                <w:rFonts w:hint="default" w:ascii="Times New Roman" w:hAnsi="Times New Roman" w:eastAsia="华文仿宋" w:cs="Times New Roman"/>
                <w:color w:val="auto"/>
                <w:kern w:val="2"/>
                <w:sz w:val="24"/>
                <w:szCs w:val="24"/>
                <w:highlight w:val="none"/>
                <w:u w:val="none"/>
                <w:vertAlign w:val="baseline"/>
                <w:lang w:val="en-US" w:eastAsia="zh-CN" w:bidi="ar-SA"/>
              </w:rPr>
            </w:pPr>
            <w:r>
              <w:rPr>
                <w:rFonts w:hint="default" w:ascii="Times New Roman" w:hAnsi="Times New Roman" w:eastAsia="华文仿宋" w:cs="Times New Roman"/>
                <w:color w:val="auto"/>
                <w:sz w:val="24"/>
                <w:szCs w:val="24"/>
                <w:highlight w:val="none"/>
                <w:u w:val="none"/>
                <w:vertAlign w:val="baseline"/>
              </w:rPr>
              <w:t>≥</w:t>
            </w:r>
            <w:r>
              <w:rPr>
                <w:rFonts w:hint="default" w:ascii="Times New Roman" w:hAnsi="Times New Roman" w:eastAsia="华文仿宋" w:cs="Times New Roman"/>
                <w:color w:val="auto"/>
                <w:sz w:val="24"/>
                <w:szCs w:val="24"/>
                <w:highlight w:val="none"/>
                <w:u w:val="none"/>
                <w:vertAlign w:val="baseline"/>
                <w:lang w:val="en-US" w:eastAsia="zh-CN"/>
              </w:rPr>
              <w:t>20</w:t>
            </w:r>
          </w:p>
        </w:tc>
        <w:tc>
          <w:tcPr>
            <w:tcW w:w="1230" w:type="dxa"/>
            <w:vAlign w:val="center"/>
          </w:tcPr>
          <w:p w14:paraId="42E9A66A">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leftChars="0" w:firstLine="0" w:firstLineChars="0"/>
              <w:jc w:val="center"/>
              <w:textAlignment w:val="auto"/>
              <w:rPr>
                <w:rFonts w:hint="default" w:ascii="Times New Roman" w:hAnsi="Times New Roman" w:eastAsia="华文仿宋" w:cs="Times New Roman"/>
                <w:color w:val="auto"/>
                <w:sz w:val="24"/>
                <w:szCs w:val="24"/>
                <w:highlight w:val="none"/>
                <w:u w:val="none"/>
                <w:vertAlign w:val="baseline"/>
                <w:lang w:val="en-US" w:eastAsia="zh-CN"/>
              </w:rPr>
            </w:pPr>
            <w:r>
              <w:rPr>
                <w:rFonts w:hint="default" w:ascii="Times New Roman" w:hAnsi="Times New Roman" w:eastAsia="华文仿宋" w:cs="Times New Roman"/>
                <w:color w:val="auto"/>
                <w:sz w:val="24"/>
                <w:szCs w:val="24"/>
                <w:highlight w:val="none"/>
                <w:u w:val="none"/>
                <w:vertAlign w:val="baseline"/>
              </w:rPr>
              <w:t>≥</w:t>
            </w:r>
            <w:r>
              <w:rPr>
                <w:rFonts w:hint="default" w:ascii="Times New Roman" w:hAnsi="Times New Roman" w:eastAsia="华文仿宋" w:cs="Times New Roman"/>
                <w:color w:val="auto"/>
                <w:sz w:val="24"/>
                <w:szCs w:val="24"/>
                <w:highlight w:val="none"/>
                <w:u w:val="none"/>
                <w:vertAlign w:val="baseline"/>
                <w:lang w:val="en-US" w:eastAsia="zh-CN"/>
              </w:rPr>
              <w:t>35</w:t>
            </w:r>
          </w:p>
        </w:tc>
        <w:tc>
          <w:tcPr>
            <w:tcW w:w="954" w:type="dxa"/>
            <w:vAlign w:val="center"/>
          </w:tcPr>
          <w:p w14:paraId="7B3F10E5">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leftChars="0" w:firstLine="0" w:firstLineChars="0"/>
              <w:jc w:val="center"/>
              <w:textAlignment w:val="auto"/>
              <w:rPr>
                <w:rFonts w:hint="default" w:ascii="Times New Roman" w:hAnsi="Times New Roman" w:eastAsia="华文仿宋" w:cs="Times New Roman"/>
                <w:color w:val="auto"/>
                <w:sz w:val="24"/>
                <w:szCs w:val="24"/>
                <w:u w:val="none"/>
                <w:vertAlign w:val="baseline"/>
              </w:rPr>
            </w:pPr>
            <w:r>
              <w:rPr>
                <w:rFonts w:hint="default" w:ascii="Times New Roman" w:hAnsi="Times New Roman" w:eastAsia="华文仿宋" w:cs="Times New Roman"/>
                <w:color w:val="auto"/>
                <w:sz w:val="24"/>
                <w:szCs w:val="24"/>
                <w:u w:val="none"/>
                <w:vertAlign w:val="baseline"/>
              </w:rPr>
              <w:t>预期性</w:t>
            </w:r>
          </w:p>
        </w:tc>
      </w:tr>
      <w:tr w14:paraId="1780D5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3" w:hRule="atLeast"/>
          <w:jc w:val="center"/>
        </w:trPr>
        <w:tc>
          <w:tcPr>
            <w:tcW w:w="771" w:type="dxa"/>
            <w:vAlign w:val="center"/>
          </w:tcPr>
          <w:p w14:paraId="7E10B60F">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leftChars="0" w:firstLine="0" w:firstLineChars="0"/>
              <w:jc w:val="center"/>
              <w:textAlignment w:val="auto"/>
              <w:rPr>
                <w:rFonts w:hint="default" w:ascii="Times New Roman" w:hAnsi="Times New Roman" w:eastAsia="华文仿宋" w:cs="Times New Roman"/>
                <w:color w:val="auto"/>
                <w:sz w:val="24"/>
                <w:szCs w:val="24"/>
                <w:u w:val="none"/>
                <w:vertAlign w:val="baseline"/>
                <w:lang w:eastAsia="zh-CN"/>
              </w:rPr>
            </w:pPr>
            <w:r>
              <w:rPr>
                <w:rFonts w:hint="default" w:ascii="Times New Roman" w:hAnsi="Times New Roman" w:eastAsia="华文仿宋" w:cs="Times New Roman"/>
                <w:color w:val="auto"/>
                <w:sz w:val="24"/>
                <w:szCs w:val="24"/>
                <w:u w:val="none"/>
                <w:vertAlign w:val="baseline"/>
                <w:lang w:val="en-US" w:eastAsia="zh-CN"/>
              </w:rPr>
              <w:t>6</w:t>
            </w:r>
          </w:p>
        </w:tc>
        <w:tc>
          <w:tcPr>
            <w:tcW w:w="1215" w:type="dxa"/>
            <w:vMerge w:val="restart"/>
            <w:vAlign w:val="center"/>
          </w:tcPr>
          <w:p w14:paraId="716B2F23">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leftChars="0" w:firstLine="0" w:firstLineChars="0"/>
              <w:jc w:val="center"/>
              <w:textAlignment w:val="auto"/>
              <w:rPr>
                <w:rFonts w:hint="default" w:ascii="Times New Roman" w:hAnsi="Times New Roman" w:eastAsia="华文仿宋" w:cs="Times New Roman"/>
                <w:color w:val="auto"/>
                <w:sz w:val="24"/>
                <w:szCs w:val="24"/>
                <w:u w:val="none"/>
                <w:vertAlign w:val="baseline"/>
              </w:rPr>
            </w:pPr>
            <w:r>
              <w:rPr>
                <w:rFonts w:hint="default" w:ascii="Times New Roman" w:hAnsi="Times New Roman" w:eastAsia="华文仿宋" w:cs="Times New Roman"/>
                <w:color w:val="auto"/>
                <w:sz w:val="24"/>
                <w:szCs w:val="24"/>
                <w:u w:val="none"/>
                <w:vertAlign w:val="baseline"/>
              </w:rPr>
              <w:t>无害化</w:t>
            </w:r>
          </w:p>
        </w:tc>
        <w:tc>
          <w:tcPr>
            <w:tcW w:w="3675" w:type="dxa"/>
            <w:vAlign w:val="center"/>
          </w:tcPr>
          <w:p w14:paraId="559A65E4">
            <w:pPr>
              <w:keepNext w:val="0"/>
              <w:keepLines w:val="0"/>
              <w:pageBreakBefore w:val="0"/>
              <w:widowControl w:val="0"/>
              <w:kinsoku/>
              <w:wordWrap/>
              <w:overflowPunct/>
              <w:topLinePunct w:val="0"/>
              <w:autoSpaceDE/>
              <w:autoSpaceDN/>
              <w:bidi w:val="0"/>
              <w:adjustRightInd/>
              <w:snapToGrid/>
              <w:spacing w:beforeAutospacing="0" w:afterAutospacing="0" w:line="340" w:lineRule="exact"/>
              <w:ind w:left="0" w:leftChars="0" w:firstLine="0" w:firstLineChars="0"/>
              <w:textAlignment w:val="auto"/>
              <w:rPr>
                <w:rFonts w:hint="default" w:ascii="Times New Roman" w:hAnsi="Times New Roman" w:eastAsia="华文仿宋" w:cs="Times New Roman"/>
                <w:color w:val="auto"/>
                <w:sz w:val="24"/>
                <w:szCs w:val="24"/>
                <w:u w:val="none"/>
                <w:vertAlign w:val="baseline"/>
              </w:rPr>
            </w:pPr>
            <w:r>
              <w:rPr>
                <w:rFonts w:hint="default" w:ascii="Times New Roman" w:hAnsi="Times New Roman" w:eastAsia="华文仿宋" w:cs="Times New Roman"/>
                <w:color w:val="auto"/>
                <w:sz w:val="24"/>
                <w:szCs w:val="24"/>
                <w:u w:val="none"/>
                <w:vertAlign w:val="baseline"/>
              </w:rPr>
              <w:t>建筑垃圾收运率（%）</w:t>
            </w:r>
          </w:p>
        </w:tc>
        <w:tc>
          <w:tcPr>
            <w:tcW w:w="1237" w:type="dxa"/>
            <w:vAlign w:val="center"/>
          </w:tcPr>
          <w:p w14:paraId="5569EA97">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leftChars="0" w:firstLine="0" w:firstLineChars="0"/>
              <w:jc w:val="center"/>
              <w:textAlignment w:val="auto"/>
              <w:rPr>
                <w:rFonts w:hint="default" w:ascii="Times New Roman" w:hAnsi="Times New Roman" w:eastAsia="华文仿宋" w:cs="Times New Roman"/>
                <w:color w:val="auto"/>
                <w:kern w:val="2"/>
                <w:sz w:val="24"/>
                <w:szCs w:val="24"/>
                <w:highlight w:val="none"/>
                <w:u w:val="none"/>
                <w:vertAlign w:val="baseline"/>
                <w:lang w:val="en-US" w:eastAsia="zh-CN" w:bidi="ar-SA"/>
              </w:rPr>
            </w:pPr>
            <w:r>
              <w:rPr>
                <w:rFonts w:hint="default" w:ascii="Times New Roman" w:hAnsi="Times New Roman" w:eastAsia="华文仿宋" w:cs="Times New Roman"/>
                <w:color w:val="auto"/>
                <w:sz w:val="24"/>
                <w:szCs w:val="24"/>
                <w:highlight w:val="none"/>
                <w:u w:val="none"/>
                <w:vertAlign w:val="baseline"/>
              </w:rPr>
              <w:t>100</w:t>
            </w:r>
          </w:p>
        </w:tc>
        <w:tc>
          <w:tcPr>
            <w:tcW w:w="1230" w:type="dxa"/>
            <w:vAlign w:val="center"/>
          </w:tcPr>
          <w:p w14:paraId="26895F26">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leftChars="0" w:firstLine="0" w:firstLineChars="0"/>
              <w:jc w:val="center"/>
              <w:textAlignment w:val="auto"/>
              <w:rPr>
                <w:rFonts w:hint="default" w:ascii="Times New Roman" w:hAnsi="Times New Roman" w:eastAsia="华文仿宋" w:cs="Times New Roman"/>
                <w:color w:val="auto"/>
                <w:sz w:val="24"/>
                <w:szCs w:val="24"/>
                <w:highlight w:val="none"/>
                <w:u w:val="none"/>
                <w:vertAlign w:val="baseline"/>
              </w:rPr>
            </w:pPr>
            <w:r>
              <w:rPr>
                <w:rFonts w:hint="default" w:ascii="Times New Roman" w:hAnsi="Times New Roman" w:eastAsia="华文仿宋" w:cs="Times New Roman"/>
                <w:color w:val="auto"/>
                <w:sz w:val="24"/>
                <w:szCs w:val="24"/>
                <w:highlight w:val="none"/>
                <w:u w:val="none"/>
                <w:vertAlign w:val="baseline"/>
              </w:rPr>
              <w:t>100</w:t>
            </w:r>
          </w:p>
        </w:tc>
        <w:tc>
          <w:tcPr>
            <w:tcW w:w="954" w:type="dxa"/>
            <w:vAlign w:val="center"/>
          </w:tcPr>
          <w:p w14:paraId="0BE78F19">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leftChars="0" w:firstLine="0" w:firstLineChars="0"/>
              <w:jc w:val="center"/>
              <w:textAlignment w:val="auto"/>
              <w:rPr>
                <w:rFonts w:hint="default" w:ascii="Times New Roman" w:hAnsi="Times New Roman" w:eastAsia="华文仿宋" w:cs="Times New Roman"/>
                <w:color w:val="auto"/>
                <w:sz w:val="24"/>
                <w:szCs w:val="24"/>
                <w:u w:val="none"/>
                <w:vertAlign w:val="baseline"/>
              </w:rPr>
            </w:pPr>
            <w:r>
              <w:rPr>
                <w:rFonts w:hint="default" w:ascii="Times New Roman" w:hAnsi="Times New Roman" w:eastAsia="华文仿宋" w:cs="Times New Roman"/>
                <w:color w:val="auto"/>
                <w:sz w:val="24"/>
                <w:szCs w:val="24"/>
                <w:u w:val="none"/>
                <w:vertAlign w:val="baseline"/>
              </w:rPr>
              <w:t>约束性</w:t>
            </w:r>
          </w:p>
        </w:tc>
      </w:tr>
      <w:tr w14:paraId="552D81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jc w:val="center"/>
        </w:trPr>
        <w:tc>
          <w:tcPr>
            <w:tcW w:w="771" w:type="dxa"/>
            <w:vAlign w:val="center"/>
          </w:tcPr>
          <w:p w14:paraId="2EA7411B">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leftChars="0" w:firstLine="0" w:firstLineChars="0"/>
              <w:jc w:val="center"/>
              <w:textAlignment w:val="auto"/>
              <w:rPr>
                <w:rFonts w:hint="default" w:ascii="Times New Roman" w:hAnsi="Times New Roman" w:eastAsia="华文仿宋" w:cs="Times New Roman"/>
                <w:color w:val="auto"/>
                <w:sz w:val="24"/>
                <w:szCs w:val="24"/>
                <w:u w:val="none"/>
                <w:vertAlign w:val="baseline"/>
                <w:lang w:eastAsia="zh-CN"/>
              </w:rPr>
            </w:pPr>
            <w:r>
              <w:rPr>
                <w:rFonts w:hint="default" w:ascii="Times New Roman" w:hAnsi="Times New Roman" w:eastAsia="华文仿宋" w:cs="Times New Roman"/>
                <w:color w:val="auto"/>
                <w:sz w:val="24"/>
                <w:szCs w:val="24"/>
                <w:u w:val="none"/>
                <w:vertAlign w:val="baseline"/>
                <w:lang w:val="en-US" w:eastAsia="zh-CN"/>
              </w:rPr>
              <w:t>7</w:t>
            </w:r>
          </w:p>
        </w:tc>
        <w:tc>
          <w:tcPr>
            <w:tcW w:w="1215" w:type="dxa"/>
            <w:vMerge w:val="continue"/>
            <w:vAlign w:val="center"/>
          </w:tcPr>
          <w:p w14:paraId="3DEDB446">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leftChars="0" w:firstLine="0" w:firstLineChars="0"/>
              <w:jc w:val="center"/>
              <w:textAlignment w:val="auto"/>
              <w:rPr>
                <w:rFonts w:hint="default" w:ascii="Times New Roman" w:hAnsi="Times New Roman" w:eastAsia="华文仿宋" w:cs="Times New Roman"/>
                <w:color w:val="auto"/>
                <w:sz w:val="24"/>
                <w:szCs w:val="24"/>
                <w:u w:val="none"/>
                <w:vertAlign w:val="baseline"/>
              </w:rPr>
            </w:pPr>
          </w:p>
        </w:tc>
        <w:tc>
          <w:tcPr>
            <w:tcW w:w="3675" w:type="dxa"/>
            <w:vAlign w:val="center"/>
          </w:tcPr>
          <w:p w14:paraId="155ED7E8">
            <w:pPr>
              <w:keepNext w:val="0"/>
              <w:keepLines w:val="0"/>
              <w:pageBreakBefore w:val="0"/>
              <w:widowControl w:val="0"/>
              <w:kinsoku/>
              <w:wordWrap/>
              <w:overflowPunct/>
              <w:topLinePunct w:val="0"/>
              <w:autoSpaceDE/>
              <w:autoSpaceDN/>
              <w:bidi w:val="0"/>
              <w:adjustRightInd/>
              <w:snapToGrid/>
              <w:spacing w:beforeAutospacing="0" w:afterAutospacing="0" w:line="340" w:lineRule="exact"/>
              <w:ind w:left="0" w:leftChars="0" w:firstLine="0" w:firstLineChars="0"/>
              <w:textAlignment w:val="auto"/>
              <w:rPr>
                <w:rFonts w:hint="default" w:ascii="Times New Roman" w:hAnsi="Times New Roman" w:eastAsia="华文仿宋" w:cs="Times New Roman"/>
                <w:color w:val="auto"/>
                <w:sz w:val="24"/>
                <w:szCs w:val="24"/>
                <w:u w:val="none"/>
                <w:vertAlign w:val="baseline"/>
              </w:rPr>
            </w:pPr>
            <w:r>
              <w:rPr>
                <w:rFonts w:hint="default" w:ascii="Times New Roman" w:hAnsi="Times New Roman" w:eastAsia="华文仿宋" w:cs="Times New Roman"/>
                <w:color w:val="auto"/>
                <w:sz w:val="24"/>
                <w:szCs w:val="24"/>
                <w:u w:val="none"/>
                <w:vertAlign w:val="baseline"/>
              </w:rPr>
              <w:t>建筑垃圾密闭化收运率（%）</w:t>
            </w:r>
          </w:p>
        </w:tc>
        <w:tc>
          <w:tcPr>
            <w:tcW w:w="1237" w:type="dxa"/>
            <w:vAlign w:val="center"/>
          </w:tcPr>
          <w:p w14:paraId="37078038">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leftChars="0" w:firstLine="0" w:firstLineChars="0"/>
              <w:jc w:val="center"/>
              <w:textAlignment w:val="auto"/>
              <w:rPr>
                <w:rFonts w:hint="default" w:ascii="Times New Roman" w:hAnsi="Times New Roman" w:eastAsia="华文仿宋" w:cs="Times New Roman"/>
                <w:color w:val="auto"/>
                <w:kern w:val="2"/>
                <w:sz w:val="24"/>
                <w:szCs w:val="24"/>
                <w:highlight w:val="none"/>
                <w:u w:val="none"/>
                <w:vertAlign w:val="baseline"/>
                <w:lang w:val="en-US" w:eastAsia="zh-CN" w:bidi="ar-SA"/>
              </w:rPr>
            </w:pPr>
            <w:r>
              <w:rPr>
                <w:rFonts w:hint="default" w:ascii="Times New Roman" w:hAnsi="Times New Roman" w:eastAsia="华文仿宋" w:cs="Times New Roman"/>
                <w:color w:val="auto"/>
                <w:sz w:val="24"/>
                <w:szCs w:val="24"/>
                <w:highlight w:val="none"/>
                <w:u w:val="none"/>
                <w:vertAlign w:val="baseline"/>
              </w:rPr>
              <w:t>100</w:t>
            </w:r>
          </w:p>
        </w:tc>
        <w:tc>
          <w:tcPr>
            <w:tcW w:w="1230" w:type="dxa"/>
            <w:vAlign w:val="center"/>
          </w:tcPr>
          <w:p w14:paraId="61B11B83">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leftChars="0" w:firstLine="0" w:firstLineChars="0"/>
              <w:jc w:val="center"/>
              <w:textAlignment w:val="auto"/>
              <w:rPr>
                <w:rFonts w:hint="default" w:ascii="Times New Roman" w:hAnsi="Times New Roman" w:eastAsia="华文仿宋" w:cs="Times New Roman"/>
                <w:color w:val="auto"/>
                <w:sz w:val="24"/>
                <w:szCs w:val="24"/>
                <w:highlight w:val="none"/>
                <w:u w:val="none"/>
                <w:vertAlign w:val="baseline"/>
              </w:rPr>
            </w:pPr>
            <w:r>
              <w:rPr>
                <w:rFonts w:hint="default" w:ascii="Times New Roman" w:hAnsi="Times New Roman" w:eastAsia="华文仿宋" w:cs="Times New Roman"/>
                <w:color w:val="auto"/>
                <w:sz w:val="24"/>
                <w:szCs w:val="24"/>
                <w:highlight w:val="none"/>
                <w:u w:val="none"/>
                <w:vertAlign w:val="baseline"/>
              </w:rPr>
              <w:t>100</w:t>
            </w:r>
          </w:p>
        </w:tc>
        <w:tc>
          <w:tcPr>
            <w:tcW w:w="954" w:type="dxa"/>
            <w:vAlign w:val="center"/>
          </w:tcPr>
          <w:p w14:paraId="42235970">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leftChars="0" w:firstLine="0" w:firstLineChars="0"/>
              <w:jc w:val="center"/>
              <w:textAlignment w:val="auto"/>
              <w:rPr>
                <w:rFonts w:hint="default" w:ascii="Times New Roman" w:hAnsi="Times New Roman" w:eastAsia="华文仿宋" w:cs="Times New Roman"/>
                <w:color w:val="auto"/>
                <w:sz w:val="24"/>
                <w:szCs w:val="24"/>
                <w:u w:val="none"/>
                <w:vertAlign w:val="baseline"/>
              </w:rPr>
            </w:pPr>
            <w:r>
              <w:rPr>
                <w:rFonts w:hint="default" w:ascii="Times New Roman" w:hAnsi="Times New Roman" w:eastAsia="华文仿宋" w:cs="Times New Roman"/>
                <w:color w:val="auto"/>
                <w:sz w:val="24"/>
                <w:szCs w:val="24"/>
                <w:u w:val="none"/>
                <w:vertAlign w:val="baseline"/>
              </w:rPr>
              <w:t>约束性</w:t>
            </w:r>
          </w:p>
        </w:tc>
      </w:tr>
      <w:tr w14:paraId="5C5EE9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3" w:hRule="atLeast"/>
          <w:jc w:val="center"/>
        </w:trPr>
        <w:tc>
          <w:tcPr>
            <w:tcW w:w="771" w:type="dxa"/>
            <w:vAlign w:val="center"/>
          </w:tcPr>
          <w:p w14:paraId="77695234">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leftChars="0" w:firstLine="0" w:firstLineChars="0"/>
              <w:jc w:val="center"/>
              <w:textAlignment w:val="auto"/>
              <w:rPr>
                <w:rFonts w:hint="default" w:ascii="Times New Roman" w:hAnsi="Times New Roman" w:eastAsia="华文仿宋" w:cs="Times New Roman"/>
                <w:color w:val="auto"/>
                <w:sz w:val="24"/>
                <w:szCs w:val="24"/>
                <w:u w:val="none"/>
                <w:vertAlign w:val="baseline"/>
                <w:lang w:eastAsia="zh-CN"/>
              </w:rPr>
            </w:pPr>
            <w:r>
              <w:rPr>
                <w:rFonts w:hint="default" w:ascii="Times New Roman" w:hAnsi="Times New Roman" w:eastAsia="华文仿宋" w:cs="Times New Roman"/>
                <w:color w:val="auto"/>
                <w:sz w:val="24"/>
                <w:szCs w:val="24"/>
                <w:u w:val="none"/>
                <w:vertAlign w:val="baseline"/>
                <w:lang w:val="en-US" w:eastAsia="zh-CN"/>
              </w:rPr>
              <w:t>8</w:t>
            </w:r>
          </w:p>
        </w:tc>
        <w:tc>
          <w:tcPr>
            <w:tcW w:w="1215" w:type="dxa"/>
            <w:vMerge w:val="continue"/>
            <w:vAlign w:val="center"/>
          </w:tcPr>
          <w:p w14:paraId="21B03489">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leftChars="0" w:firstLine="0" w:firstLineChars="0"/>
              <w:jc w:val="center"/>
              <w:textAlignment w:val="auto"/>
              <w:rPr>
                <w:rFonts w:hint="default" w:ascii="Times New Roman" w:hAnsi="Times New Roman" w:eastAsia="华文仿宋" w:cs="Times New Roman"/>
                <w:color w:val="auto"/>
                <w:sz w:val="24"/>
                <w:szCs w:val="24"/>
                <w:u w:val="none"/>
                <w:vertAlign w:val="baseline"/>
              </w:rPr>
            </w:pPr>
          </w:p>
        </w:tc>
        <w:tc>
          <w:tcPr>
            <w:tcW w:w="3675" w:type="dxa"/>
            <w:vAlign w:val="center"/>
          </w:tcPr>
          <w:p w14:paraId="1B8587AE">
            <w:pPr>
              <w:keepNext w:val="0"/>
              <w:keepLines w:val="0"/>
              <w:pageBreakBefore w:val="0"/>
              <w:widowControl w:val="0"/>
              <w:kinsoku/>
              <w:wordWrap/>
              <w:overflowPunct/>
              <w:topLinePunct w:val="0"/>
              <w:autoSpaceDE/>
              <w:autoSpaceDN/>
              <w:bidi w:val="0"/>
              <w:adjustRightInd/>
              <w:snapToGrid/>
              <w:spacing w:beforeAutospacing="0" w:afterAutospacing="0" w:line="340" w:lineRule="exact"/>
              <w:ind w:left="0" w:leftChars="0" w:firstLine="0" w:firstLineChars="0"/>
              <w:textAlignment w:val="auto"/>
              <w:rPr>
                <w:rFonts w:hint="default" w:ascii="Times New Roman" w:hAnsi="Times New Roman" w:eastAsia="华文仿宋" w:cs="Times New Roman"/>
                <w:color w:val="auto"/>
                <w:sz w:val="24"/>
                <w:szCs w:val="24"/>
                <w:u w:val="none"/>
                <w:vertAlign w:val="baseline"/>
              </w:rPr>
            </w:pPr>
            <w:r>
              <w:rPr>
                <w:rFonts w:hint="default" w:ascii="Times New Roman" w:hAnsi="Times New Roman" w:eastAsia="华文仿宋" w:cs="Times New Roman"/>
                <w:color w:val="auto"/>
                <w:sz w:val="24"/>
                <w:szCs w:val="24"/>
                <w:u w:val="none"/>
                <w:vertAlign w:val="baseline"/>
              </w:rPr>
              <w:t>建筑垃圾无害化处置率（%）</w:t>
            </w:r>
          </w:p>
        </w:tc>
        <w:tc>
          <w:tcPr>
            <w:tcW w:w="1237" w:type="dxa"/>
            <w:vAlign w:val="center"/>
          </w:tcPr>
          <w:p w14:paraId="42F16147">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leftChars="0" w:firstLine="0" w:firstLineChars="0"/>
              <w:jc w:val="center"/>
              <w:textAlignment w:val="auto"/>
              <w:rPr>
                <w:rFonts w:hint="default" w:ascii="Times New Roman" w:hAnsi="Times New Roman" w:eastAsia="华文仿宋" w:cs="Times New Roman"/>
                <w:color w:val="auto"/>
                <w:kern w:val="2"/>
                <w:sz w:val="24"/>
                <w:szCs w:val="24"/>
                <w:highlight w:val="none"/>
                <w:u w:val="none"/>
                <w:vertAlign w:val="baseline"/>
                <w:lang w:val="en-US" w:eastAsia="zh-CN" w:bidi="ar-SA"/>
              </w:rPr>
            </w:pPr>
            <w:r>
              <w:rPr>
                <w:rFonts w:hint="default" w:ascii="Times New Roman" w:hAnsi="Times New Roman" w:eastAsia="华文仿宋" w:cs="Times New Roman"/>
                <w:color w:val="auto"/>
                <w:sz w:val="24"/>
                <w:szCs w:val="24"/>
                <w:highlight w:val="none"/>
                <w:u w:val="none"/>
                <w:vertAlign w:val="baseline"/>
              </w:rPr>
              <w:t>100</w:t>
            </w:r>
          </w:p>
        </w:tc>
        <w:tc>
          <w:tcPr>
            <w:tcW w:w="1230" w:type="dxa"/>
            <w:vAlign w:val="center"/>
          </w:tcPr>
          <w:p w14:paraId="4496BC47">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leftChars="0" w:firstLine="0" w:firstLineChars="0"/>
              <w:jc w:val="center"/>
              <w:textAlignment w:val="auto"/>
              <w:rPr>
                <w:rFonts w:hint="default" w:ascii="Times New Roman" w:hAnsi="Times New Roman" w:eastAsia="华文仿宋" w:cs="Times New Roman"/>
                <w:color w:val="auto"/>
                <w:sz w:val="24"/>
                <w:szCs w:val="24"/>
                <w:highlight w:val="none"/>
                <w:u w:val="none"/>
                <w:vertAlign w:val="baseline"/>
              </w:rPr>
            </w:pPr>
            <w:r>
              <w:rPr>
                <w:rFonts w:hint="default" w:ascii="Times New Roman" w:hAnsi="Times New Roman" w:eastAsia="华文仿宋" w:cs="Times New Roman"/>
                <w:color w:val="auto"/>
                <w:sz w:val="24"/>
                <w:szCs w:val="24"/>
                <w:highlight w:val="none"/>
                <w:u w:val="none"/>
                <w:vertAlign w:val="baseline"/>
              </w:rPr>
              <w:t>100</w:t>
            </w:r>
          </w:p>
        </w:tc>
        <w:tc>
          <w:tcPr>
            <w:tcW w:w="954" w:type="dxa"/>
            <w:vAlign w:val="center"/>
          </w:tcPr>
          <w:p w14:paraId="1AC01E52">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leftChars="0" w:firstLine="0" w:firstLineChars="0"/>
              <w:jc w:val="center"/>
              <w:textAlignment w:val="auto"/>
              <w:rPr>
                <w:rFonts w:hint="default" w:ascii="Times New Roman" w:hAnsi="Times New Roman" w:eastAsia="华文仿宋" w:cs="Times New Roman"/>
                <w:color w:val="auto"/>
                <w:sz w:val="24"/>
                <w:szCs w:val="24"/>
                <w:u w:val="none"/>
                <w:vertAlign w:val="baseline"/>
              </w:rPr>
            </w:pPr>
            <w:r>
              <w:rPr>
                <w:rFonts w:hint="default" w:ascii="Times New Roman" w:hAnsi="Times New Roman" w:eastAsia="华文仿宋" w:cs="Times New Roman"/>
                <w:color w:val="auto"/>
                <w:sz w:val="24"/>
                <w:szCs w:val="24"/>
                <w:u w:val="none"/>
                <w:vertAlign w:val="baseline"/>
              </w:rPr>
              <w:t>约束性</w:t>
            </w:r>
          </w:p>
        </w:tc>
      </w:tr>
      <w:tr w14:paraId="07E995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3" w:hRule="atLeast"/>
          <w:jc w:val="center"/>
        </w:trPr>
        <w:tc>
          <w:tcPr>
            <w:tcW w:w="771" w:type="dxa"/>
            <w:vAlign w:val="center"/>
          </w:tcPr>
          <w:p w14:paraId="11482B9A">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leftChars="0" w:firstLine="0" w:firstLineChars="0"/>
              <w:jc w:val="center"/>
              <w:textAlignment w:val="auto"/>
              <w:rPr>
                <w:rFonts w:hint="default" w:ascii="Times New Roman" w:hAnsi="Times New Roman" w:eastAsia="华文仿宋" w:cs="Times New Roman"/>
                <w:color w:val="auto"/>
                <w:sz w:val="24"/>
                <w:szCs w:val="24"/>
                <w:u w:val="none"/>
                <w:vertAlign w:val="baseline"/>
                <w:lang w:val="en-US" w:eastAsia="zh-CN"/>
              </w:rPr>
            </w:pPr>
            <w:r>
              <w:rPr>
                <w:rFonts w:hint="default" w:ascii="Times New Roman" w:hAnsi="Times New Roman" w:eastAsia="华文仿宋" w:cs="Times New Roman"/>
                <w:color w:val="auto"/>
                <w:sz w:val="24"/>
                <w:szCs w:val="24"/>
                <w:u w:val="none"/>
                <w:vertAlign w:val="baseline"/>
                <w:lang w:val="en-US" w:eastAsia="zh-CN"/>
              </w:rPr>
              <w:t>9</w:t>
            </w:r>
          </w:p>
        </w:tc>
        <w:tc>
          <w:tcPr>
            <w:tcW w:w="1215" w:type="dxa"/>
            <w:vMerge w:val="restart"/>
            <w:vAlign w:val="center"/>
          </w:tcPr>
          <w:p w14:paraId="5EE0738F">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leftChars="0" w:firstLine="0" w:firstLineChars="0"/>
              <w:jc w:val="center"/>
              <w:textAlignment w:val="auto"/>
              <w:rPr>
                <w:rFonts w:hint="default" w:ascii="Times New Roman" w:hAnsi="Times New Roman" w:eastAsia="华文仿宋" w:cs="Times New Roman"/>
                <w:color w:val="auto"/>
                <w:sz w:val="24"/>
                <w:szCs w:val="24"/>
                <w:u w:val="none"/>
                <w:vertAlign w:val="baseline"/>
              </w:rPr>
            </w:pPr>
            <w:r>
              <w:rPr>
                <w:rFonts w:hint="default" w:ascii="Times New Roman" w:hAnsi="Times New Roman" w:eastAsia="华文仿宋" w:cs="Times New Roman"/>
                <w:color w:val="auto"/>
                <w:sz w:val="24"/>
                <w:szCs w:val="24"/>
                <w:u w:val="none"/>
                <w:vertAlign w:val="baseline"/>
              </w:rPr>
              <w:t>数字化</w:t>
            </w:r>
          </w:p>
        </w:tc>
        <w:tc>
          <w:tcPr>
            <w:tcW w:w="3675" w:type="dxa"/>
            <w:vAlign w:val="center"/>
          </w:tcPr>
          <w:p w14:paraId="77278155">
            <w:pPr>
              <w:keepNext w:val="0"/>
              <w:keepLines w:val="0"/>
              <w:pageBreakBefore w:val="0"/>
              <w:widowControl w:val="0"/>
              <w:kinsoku/>
              <w:wordWrap/>
              <w:overflowPunct/>
              <w:topLinePunct w:val="0"/>
              <w:autoSpaceDE/>
              <w:autoSpaceDN/>
              <w:bidi w:val="0"/>
              <w:adjustRightInd/>
              <w:snapToGrid/>
              <w:spacing w:beforeAutospacing="0" w:afterAutospacing="0" w:line="340" w:lineRule="exact"/>
              <w:ind w:left="0" w:leftChars="0" w:firstLine="0" w:firstLineChars="0"/>
              <w:textAlignment w:val="auto"/>
              <w:rPr>
                <w:rFonts w:hint="default" w:ascii="Times New Roman" w:hAnsi="Times New Roman" w:eastAsia="华文仿宋" w:cs="Times New Roman"/>
                <w:color w:val="auto"/>
                <w:sz w:val="24"/>
                <w:szCs w:val="24"/>
                <w:u w:val="none"/>
                <w:vertAlign w:val="baseline"/>
              </w:rPr>
            </w:pPr>
            <w:r>
              <w:rPr>
                <w:rFonts w:hint="default" w:ascii="Times New Roman" w:hAnsi="Times New Roman" w:eastAsia="华文仿宋" w:cs="Times New Roman"/>
                <w:color w:val="auto"/>
                <w:sz w:val="24"/>
                <w:szCs w:val="24"/>
                <w:u w:val="none"/>
                <w:vertAlign w:val="baseline"/>
              </w:rPr>
              <w:t>建筑垃圾运输车船卫星定位装置接入率（%）</w:t>
            </w:r>
          </w:p>
        </w:tc>
        <w:tc>
          <w:tcPr>
            <w:tcW w:w="1237" w:type="dxa"/>
            <w:vAlign w:val="center"/>
          </w:tcPr>
          <w:p w14:paraId="5BA955DF">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leftChars="0" w:firstLine="0" w:firstLineChars="0"/>
              <w:jc w:val="center"/>
              <w:textAlignment w:val="auto"/>
              <w:rPr>
                <w:rFonts w:hint="default" w:ascii="Times New Roman" w:hAnsi="Times New Roman" w:eastAsia="华文仿宋" w:cs="Times New Roman"/>
                <w:color w:val="auto"/>
                <w:kern w:val="2"/>
                <w:sz w:val="24"/>
                <w:szCs w:val="24"/>
                <w:highlight w:val="none"/>
                <w:u w:val="none"/>
                <w:vertAlign w:val="baseline"/>
                <w:lang w:val="en-US" w:eastAsia="zh-CN" w:bidi="ar-SA"/>
              </w:rPr>
            </w:pPr>
            <w:r>
              <w:rPr>
                <w:rFonts w:hint="default" w:ascii="Times New Roman" w:hAnsi="Times New Roman" w:eastAsia="华文仿宋" w:cs="Times New Roman"/>
                <w:color w:val="auto"/>
                <w:sz w:val="24"/>
                <w:szCs w:val="24"/>
                <w:highlight w:val="none"/>
                <w:u w:val="none"/>
                <w:vertAlign w:val="baseline"/>
              </w:rPr>
              <w:t>100</w:t>
            </w:r>
          </w:p>
        </w:tc>
        <w:tc>
          <w:tcPr>
            <w:tcW w:w="1230" w:type="dxa"/>
            <w:vAlign w:val="center"/>
          </w:tcPr>
          <w:p w14:paraId="72222EAD">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leftChars="0" w:firstLine="0" w:firstLineChars="0"/>
              <w:jc w:val="center"/>
              <w:textAlignment w:val="auto"/>
              <w:rPr>
                <w:rFonts w:hint="default" w:ascii="Times New Roman" w:hAnsi="Times New Roman" w:eastAsia="华文仿宋" w:cs="Times New Roman"/>
                <w:color w:val="auto"/>
                <w:sz w:val="24"/>
                <w:szCs w:val="24"/>
                <w:highlight w:val="none"/>
                <w:u w:val="none"/>
                <w:vertAlign w:val="baseline"/>
              </w:rPr>
            </w:pPr>
            <w:r>
              <w:rPr>
                <w:rFonts w:hint="default" w:ascii="Times New Roman" w:hAnsi="Times New Roman" w:eastAsia="华文仿宋" w:cs="Times New Roman"/>
                <w:color w:val="auto"/>
                <w:sz w:val="24"/>
                <w:szCs w:val="24"/>
                <w:highlight w:val="none"/>
                <w:u w:val="none"/>
                <w:vertAlign w:val="baseline"/>
              </w:rPr>
              <w:t>100</w:t>
            </w:r>
          </w:p>
        </w:tc>
        <w:tc>
          <w:tcPr>
            <w:tcW w:w="954" w:type="dxa"/>
            <w:vAlign w:val="center"/>
          </w:tcPr>
          <w:p w14:paraId="19F1B063">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leftChars="0" w:firstLine="0" w:firstLineChars="0"/>
              <w:jc w:val="center"/>
              <w:textAlignment w:val="auto"/>
              <w:rPr>
                <w:rFonts w:hint="default" w:ascii="Times New Roman" w:hAnsi="Times New Roman" w:eastAsia="华文仿宋" w:cs="Times New Roman"/>
                <w:color w:val="auto"/>
                <w:sz w:val="24"/>
                <w:szCs w:val="24"/>
                <w:u w:val="none"/>
                <w:vertAlign w:val="baseline"/>
              </w:rPr>
            </w:pPr>
            <w:r>
              <w:rPr>
                <w:rFonts w:hint="default" w:ascii="Times New Roman" w:hAnsi="Times New Roman" w:eastAsia="华文仿宋" w:cs="Times New Roman"/>
                <w:color w:val="auto"/>
                <w:sz w:val="24"/>
                <w:szCs w:val="24"/>
                <w:u w:val="none"/>
                <w:vertAlign w:val="baseline"/>
              </w:rPr>
              <w:t>约束性</w:t>
            </w:r>
          </w:p>
        </w:tc>
      </w:tr>
      <w:tr w14:paraId="0F4AF1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3" w:hRule="atLeast"/>
          <w:jc w:val="center"/>
        </w:trPr>
        <w:tc>
          <w:tcPr>
            <w:tcW w:w="771" w:type="dxa"/>
            <w:vAlign w:val="center"/>
          </w:tcPr>
          <w:p w14:paraId="57C797E2">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leftChars="0" w:firstLine="0" w:firstLineChars="0"/>
              <w:jc w:val="center"/>
              <w:textAlignment w:val="auto"/>
              <w:rPr>
                <w:rFonts w:hint="default" w:ascii="Times New Roman" w:hAnsi="Times New Roman" w:eastAsia="华文仿宋" w:cs="Times New Roman"/>
                <w:color w:val="auto"/>
                <w:sz w:val="24"/>
                <w:szCs w:val="24"/>
                <w:u w:val="none"/>
                <w:vertAlign w:val="baseline"/>
                <w:lang w:val="en-US" w:eastAsia="zh-CN"/>
              </w:rPr>
            </w:pPr>
            <w:r>
              <w:rPr>
                <w:rFonts w:hint="default" w:ascii="Times New Roman" w:hAnsi="Times New Roman" w:eastAsia="华文仿宋" w:cs="Times New Roman"/>
                <w:color w:val="auto"/>
                <w:sz w:val="24"/>
                <w:szCs w:val="24"/>
                <w:u w:val="none"/>
                <w:vertAlign w:val="baseline"/>
                <w:lang w:val="en-US" w:eastAsia="zh-CN"/>
              </w:rPr>
              <w:t>10</w:t>
            </w:r>
          </w:p>
        </w:tc>
        <w:tc>
          <w:tcPr>
            <w:tcW w:w="1215" w:type="dxa"/>
            <w:vMerge w:val="continue"/>
            <w:vAlign w:val="center"/>
          </w:tcPr>
          <w:p w14:paraId="4C00975A">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leftChars="0" w:firstLine="0" w:firstLineChars="0"/>
              <w:textAlignment w:val="auto"/>
              <w:rPr>
                <w:rFonts w:hint="default" w:ascii="Times New Roman" w:hAnsi="Times New Roman" w:eastAsia="华文仿宋" w:cs="Times New Roman"/>
                <w:color w:val="auto"/>
                <w:sz w:val="24"/>
                <w:szCs w:val="24"/>
                <w:u w:val="none"/>
                <w:vertAlign w:val="baseline"/>
              </w:rPr>
            </w:pPr>
          </w:p>
        </w:tc>
        <w:tc>
          <w:tcPr>
            <w:tcW w:w="3675" w:type="dxa"/>
            <w:vAlign w:val="center"/>
          </w:tcPr>
          <w:p w14:paraId="5067D49F">
            <w:pPr>
              <w:keepNext w:val="0"/>
              <w:keepLines w:val="0"/>
              <w:pageBreakBefore w:val="0"/>
              <w:widowControl w:val="0"/>
              <w:kinsoku/>
              <w:wordWrap/>
              <w:overflowPunct/>
              <w:topLinePunct w:val="0"/>
              <w:autoSpaceDE/>
              <w:autoSpaceDN/>
              <w:bidi w:val="0"/>
              <w:adjustRightInd/>
              <w:snapToGrid/>
              <w:spacing w:beforeAutospacing="0" w:afterAutospacing="0" w:line="340" w:lineRule="exact"/>
              <w:ind w:left="0" w:leftChars="0" w:firstLine="0" w:firstLineChars="0"/>
              <w:textAlignment w:val="auto"/>
              <w:rPr>
                <w:rFonts w:hint="default" w:ascii="Times New Roman" w:hAnsi="Times New Roman" w:eastAsia="华文仿宋" w:cs="Times New Roman"/>
                <w:color w:val="auto"/>
                <w:sz w:val="24"/>
                <w:szCs w:val="24"/>
                <w:u w:val="none"/>
                <w:vertAlign w:val="baseline"/>
              </w:rPr>
            </w:pPr>
            <w:r>
              <w:rPr>
                <w:rFonts w:hint="default" w:ascii="Times New Roman" w:hAnsi="Times New Roman" w:eastAsia="华文仿宋" w:cs="Times New Roman"/>
                <w:color w:val="auto"/>
                <w:sz w:val="24"/>
                <w:szCs w:val="24"/>
                <w:u w:val="none"/>
                <w:vertAlign w:val="baseline"/>
              </w:rPr>
              <w:t>工程项目视频监控接入率（%）</w:t>
            </w:r>
          </w:p>
        </w:tc>
        <w:tc>
          <w:tcPr>
            <w:tcW w:w="1237" w:type="dxa"/>
            <w:vAlign w:val="center"/>
          </w:tcPr>
          <w:p w14:paraId="4DA0C0E2">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leftChars="0" w:firstLine="0" w:firstLineChars="0"/>
              <w:jc w:val="center"/>
              <w:textAlignment w:val="auto"/>
              <w:rPr>
                <w:rFonts w:hint="default" w:ascii="Times New Roman" w:hAnsi="Times New Roman" w:eastAsia="华文仿宋" w:cs="Times New Roman"/>
                <w:color w:val="auto"/>
                <w:kern w:val="2"/>
                <w:sz w:val="24"/>
                <w:szCs w:val="24"/>
                <w:highlight w:val="none"/>
                <w:u w:val="none"/>
                <w:vertAlign w:val="baseline"/>
                <w:lang w:val="en-US" w:eastAsia="zh-CN" w:bidi="ar-SA"/>
              </w:rPr>
            </w:pPr>
            <w:r>
              <w:rPr>
                <w:rFonts w:hint="default" w:ascii="Times New Roman" w:hAnsi="Times New Roman" w:eastAsia="华文仿宋" w:cs="Times New Roman"/>
                <w:color w:val="auto"/>
                <w:sz w:val="24"/>
                <w:szCs w:val="24"/>
                <w:highlight w:val="none"/>
                <w:u w:val="none"/>
                <w:vertAlign w:val="baseline"/>
              </w:rPr>
              <w:t>≥</w:t>
            </w:r>
            <w:r>
              <w:rPr>
                <w:rFonts w:hint="default" w:ascii="Times New Roman" w:hAnsi="Times New Roman" w:eastAsia="华文仿宋" w:cs="Times New Roman"/>
                <w:color w:val="auto"/>
                <w:sz w:val="24"/>
                <w:szCs w:val="24"/>
                <w:highlight w:val="none"/>
                <w:u w:val="none"/>
                <w:vertAlign w:val="baseline"/>
                <w:lang w:val="en-US" w:eastAsia="zh-CN"/>
              </w:rPr>
              <w:t>25</w:t>
            </w:r>
          </w:p>
        </w:tc>
        <w:tc>
          <w:tcPr>
            <w:tcW w:w="1230" w:type="dxa"/>
            <w:vAlign w:val="center"/>
          </w:tcPr>
          <w:p w14:paraId="2FE57C2D">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leftChars="0" w:firstLine="0" w:firstLineChars="0"/>
              <w:jc w:val="center"/>
              <w:textAlignment w:val="auto"/>
              <w:rPr>
                <w:rFonts w:hint="default" w:ascii="Times New Roman" w:hAnsi="Times New Roman" w:eastAsia="华文仿宋" w:cs="Times New Roman"/>
                <w:color w:val="auto"/>
                <w:sz w:val="24"/>
                <w:szCs w:val="24"/>
                <w:highlight w:val="none"/>
                <w:u w:val="none"/>
                <w:vertAlign w:val="baseline"/>
                <w:lang w:val="en-US" w:eastAsia="zh-CN"/>
              </w:rPr>
            </w:pPr>
            <w:r>
              <w:rPr>
                <w:rFonts w:hint="default" w:ascii="Times New Roman" w:hAnsi="Times New Roman" w:eastAsia="华文仿宋" w:cs="Times New Roman"/>
                <w:color w:val="auto"/>
                <w:sz w:val="24"/>
                <w:szCs w:val="24"/>
                <w:highlight w:val="none"/>
                <w:u w:val="none"/>
                <w:vertAlign w:val="baseline"/>
              </w:rPr>
              <w:t>≥</w:t>
            </w:r>
            <w:r>
              <w:rPr>
                <w:rFonts w:hint="default" w:ascii="Times New Roman" w:hAnsi="Times New Roman" w:eastAsia="华文仿宋" w:cs="Times New Roman"/>
                <w:color w:val="auto"/>
                <w:sz w:val="24"/>
                <w:szCs w:val="24"/>
                <w:highlight w:val="none"/>
                <w:u w:val="none"/>
                <w:vertAlign w:val="baseline"/>
                <w:lang w:val="en-US" w:eastAsia="zh-CN"/>
              </w:rPr>
              <w:t>30</w:t>
            </w:r>
          </w:p>
        </w:tc>
        <w:tc>
          <w:tcPr>
            <w:tcW w:w="954" w:type="dxa"/>
            <w:vAlign w:val="center"/>
          </w:tcPr>
          <w:p w14:paraId="3175143D">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leftChars="0" w:firstLine="0" w:firstLineChars="0"/>
              <w:jc w:val="center"/>
              <w:textAlignment w:val="auto"/>
              <w:rPr>
                <w:rFonts w:hint="default" w:ascii="Times New Roman" w:hAnsi="Times New Roman" w:eastAsia="华文仿宋" w:cs="Times New Roman"/>
                <w:color w:val="auto"/>
                <w:sz w:val="24"/>
                <w:szCs w:val="24"/>
                <w:u w:val="none"/>
                <w:vertAlign w:val="baseline"/>
              </w:rPr>
            </w:pPr>
            <w:r>
              <w:rPr>
                <w:rFonts w:hint="default" w:ascii="Times New Roman" w:hAnsi="Times New Roman" w:eastAsia="华文仿宋" w:cs="Times New Roman"/>
                <w:color w:val="auto"/>
                <w:sz w:val="24"/>
                <w:szCs w:val="24"/>
                <w:u w:val="none"/>
                <w:vertAlign w:val="baseline"/>
              </w:rPr>
              <w:t>预期性</w:t>
            </w:r>
          </w:p>
        </w:tc>
      </w:tr>
      <w:tr w14:paraId="7E0688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jc w:val="center"/>
        </w:trPr>
        <w:tc>
          <w:tcPr>
            <w:tcW w:w="771" w:type="dxa"/>
            <w:vAlign w:val="center"/>
          </w:tcPr>
          <w:p w14:paraId="371C36E4">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leftChars="0" w:firstLine="0" w:firstLineChars="0"/>
              <w:jc w:val="center"/>
              <w:textAlignment w:val="auto"/>
              <w:rPr>
                <w:rFonts w:hint="default" w:ascii="Times New Roman" w:hAnsi="Times New Roman" w:eastAsia="华文仿宋" w:cs="Times New Roman"/>
                <w:color w:val="auto"/>
                <w:sz w:val="24"/>
                <w:szCs w:val="24"/>
                <w:u w:val="none"/>
                <w:vertAlign w:val="baseline"/>
                <w:lang w:val="en-US" w:eastAsia="zh-CN"/>
              </w:rPr>
            </w:pPr>
            <w:r>
              <w:rPr>
                <w:rFonts w:hint="default" w:ascii="Times New Roman" w:hAnsi="Times New Roman" w:eastAsia="华文仿宋" w:cs="Times New Roman"/>
                <w:color w:val="auto"/>
                <w:sz w:val="24"/>
                <w:szCs w:val="24"/>
                <w:u w:val="none"/>
                <w:vertAlign w:val="baseline"/>
                <w:lang w:val="en-US" w:eastAsia="zh-CN"/>
              </w:rPr>
              <w:t>11</w:t>
            </w:r>
          </w:p>
        </w:tc>
        <w:tc>
          <w:tcPr>
            <w:tcW w:w="1215" w:type="dxa"/>
            <w:vMerge w:val="continue"/>
            <w:vAlign w:val="center"/>
          </w:tcPr>
          <w:p w14:paraId="73E614F6">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leftChars="0" w:firstLine="0" w:firstLineChars="0"/>
              <w:textAlignment w:val="auto"/>
              <w:rPr>
                <w:rFonts w:hint="default" w:ascii="Times New Roman" w:hAnsi="Times New Roman" w:eastAsia="华文仿宋" w:cs="Times New Roman"/>
                <w:color w:val="auto"/>
                <w:sz w:val="24"/>
                <w:szCs w:val="24"/>
                <w:u w:val="none"/>
                <w:vertAlign w:val="baseline"/>
              </w:rPr>
            </w:pPr>
          </w:p>
        </w:tc>
        <w:tc>
          <w:tcPr>
            <w:tcW w:w="3675" w:type="dxa"/>
            <w:vAlign w:val="center"/>
          </w:tcPr>
          <w:p w14:paraId="0CCC98D1">
            <w:pPr>
              <w:keepNext w:val="0"/>
              <w:keepLines w:val="0"/>
              <w:pageBreakBefore w:val="0"/>
              <w:widowControl w:val="0"/>
              <w:kinsoku/>
              <w:wordWrap/>
              <w:overflowPunct/>
              <w:topLinePunct w:val="0"/>
              <w:autoSpaceDE/>
              <w:autoSpaceDN/>
              <w:bidi w:val="0"/>
              <w:adjustRightInd/>
              <w:snapToGrid/>
              <w:spacing w:beforeAutospacing="0" w:afterAutospacing="0" w:line="340" w:lineRule="exact"/>
              <w:ind w:left="0" w:leftChars="0" w:firstLine="0" w:firstLineChars="0"/>
              <w:textAlignment w:val="auto"/>
              <w:rPr>
                <w:rFonts w:hint="default" w:ascii="Times New Roman" w:hAnsi="Times New Roman" w:eastAsia="华文仿宋" w:cs="Times New Roman"/>
                <w:color w:val="auto"/>
                <w:sz w:val="24"/>
                <w:szCs w:val="24"/>
                <w:u w:val="none"/>
                <w:vertAlign w:val="baseline"/>
              </w:rPr>
            </w:pPr>
            <w:r>
              <w:rPr>
                <w:rFonts w:hint="default" w:ascii="Times New Roman" w:hAnsi="Times New Roman" w:eastAsia="华文仿宋" w:cs="Times New Roman"/>
                <w:color w:val="auto"/>
                <w:sz w:val="24"/>
                <w:szCs w:val="24"/>
                <w:u w:val="none"/>
                <w:vertAlign w:val="baseline"/>
              </w:rPr>
              <w:t>建筑垃圾消纳场所视频监控接入率（%）</w:t>
            </w:r>
          </w:p>
        </w:tc>
        <w:tc>
          <w:tcPr>
            <w:tcW w:w="1237" w:type="dxa"/>
            <w:vAlign w:val="center"/>
          </w:tcPr>
          <w:p w14:paraId="597739A3">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leftChars="0" w:firstLine="0" w:firstLineChars="0"/>
              <w:jc w:val="center"/>
              <w:textAlignment w:val="auto"/>
              <w:rPr>
                <w:rFonts w:hint="default" w:ascii="Times New Roman" w:hAnsi="Times New Roman" w:eastAsia="华文仿宋" w:cs="Times New Roman"/>
                <w:color w:val="auto"/>
                <w:kern w:val="2"/>
                <w:sz w:val="24"/>
                <w:szCs w:val="24"/>
                <w:highlight w:val="none"/>
                <w:u w:val="none"/>
                <w:vertAlign w:val="baseline"/>
                <w:lang w:val="en-US" w:eastAsia="zh-CN" w:bidi="ar-SA"/>
              </w:rPr>
            </w:pPr>
            <w:r>
              <w:rPr>
                <w:rFonts w:hint="default" w:ascii="Times New Roman" w:hAnsi="Times New Roman" w:eastAsia="华文仿宋" w:cs="Times New Roman"/>
                <w:color w:val="auto"/>
                <w:sz w:val="24"/>
                <w:szCs w:val="24"/>
                <w:highlight w:val="none"/>
                <w:u w:val="none"/>
                <w:vertAlign w:val="baseline"/>
              </w:rPr>
              <w:t>100</w:t>
            </w:r>
          </w:p>
        </w:tc>
        <w:tc>
          <w:tcPr>
            <w:tcW w:w="1230" w:type="dxa"/>
            <w:vAlign w:val="center"/>
          </w:tcPr>
          <w:p w14:paraId="0E82A484">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leftChars="0" w:firstLine="0" w:firstLineChars="0"/>
              <w:jc w:val="center"/>
              <w:textAlignment w:val="auto"/>
              <w:rPr>
                <w:rFonts w:hint="default" w:ascii="Times New Roman" w:hAnsi="Times New Roman" w:eastAsia="华文仿宋" w:cs="Times New Roman"/>
                <w:color w:val="auto"/>
                <w:sz w:val="24"/>
                <w:szCs w:val="24"/>
                <w:highlight w:val="none"/>
                <w:u w:val="none"/>
                <w:vertAlign w:val="baseline"/>
              </w:rPr>
            </w:pPr>
            <w:r>
              <w:rPr>
                <w:rFonts w:hint="default" w:ascii="Times New Roman" w:hAnsi="Times New Roman" w:eastAsia="华文仿宋" w:cs="Times New Roman"/>
                <w:color w:val="auto"/>
                <w:sz w:val="24"/>
                <w:szCs w:val="24"/>
                <w:highlight w:val="none"/>
                <w:u w:val="none"/>
                <w:vertAlign w:val="baseline"/>
              </w:rPr>
              <w:t>100</w:t>
            </w:r>
          </w:p>
        </w:tc>
        <w:tc>
          <w:tcPr>
            <w:tcW w:w="954" w:type="dxa"/>
            <w:vAlign w:val="center"/>
          </w:tcPr>
          <w:p w14:paraId="2D142EF2">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leftChars="0" w:firstLine="0" w:firstLineChars="0"/>
              <w:jc w:val="center"/>
              <w:textAlignment w:val="auto"/>
              <w:rPr>
                <w:rFonts w:hint="default" w:ascii="Times New Roman" w:hAnsi="Times New Roman" w:eastAsia="华文仿宋" w:cs="Times New Roman"/>
                <w:color w:val="auto"/>
                <w:sz w:val="24"/>
                <w:szCs w:val="24"/>
                <w:u w:val="none"/>
                <w:vertAlign w:val="baseline"/>
              </w:rPr>
            </w:pPr>
            <w:r>
              <w:rPr>
                <w:rFonts w:hint="default" w:ascii="Times New Roman" w:hAnsi="Times New Roman" w:eastAsia="华文仿宋" w:cs="Times New Roman"/>
                <w:color w:val="auto"/>
                <w:sz w:val="24"/>
                <w:szCs w:val="24"/>
                <w:u w:val="none"/>
                <w:vertAlign w:val="baseline"/>
              </w:rPr>
              <w:t>预期性</w:t>
            </w:r>
          </w:p>
        </w:tc>
      </w:tr>
      <w:tr w14:paraId="52E551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3" w:hRule="atLeast"/>
          <w:jc w:val="center"/>
        </w:trPr>
        <w:tc>
          <w:tcPr>
            <w:tcW w:w="771" w:type="dxa"/>
            <w:vAlign w:val="center"/>
          </w:tcPr>
          <w:p w14:paraId="2B7258B0">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leftChars="0" w:firstLine="0" w:firstLineChars="0"/>
              <w:jc w:val="center"/>
              <w:textAlignment w:val="auto"/>
              <w:rPr>
                <w:rFonts w:hint="default" w:ascii="Times New Roman" w:hAnsi="Times New Roman" w:eastAsia="华文仿宋" w:cs="Times New Roman"/>
                <w:color w:val="auto"/>
                <w:sz w:val="24"/>
                <w:szCs w:val="24"/>
                <w:u w:val="none"/>
                <w:vertAlign w:val="baseline"/>
                <w:lang w:val="en-US" w:eastAsia="zh-CN"/>
              </w:rPr>
            </w:pPr>
            <w:r>
              <w:rPr>
                <w:rFonts w:hint="default" w:ascii="Times New Roman" w:hAnsi="Times New Roman" w:eastAsia="华文仿宋" w:cs="Times New Roman"/>
                <w:color w:val="auto"/>
                <w:sz w:val="24"/>
                <w:szCs w:val="24"/>
                <w:u w:val="none"/>
                <w:vertAlign w:val="baseline"/>
                <w:lang w:val="en-US" w:eastAsia="zh-CN"/>
              </w:rPr>
              <w:t>12</w:t>
            </w:r>
          </w:p>
        </w:tc>
        <w:tc>
          <w:tcPr>
            <w:tcW w:w="1215" w:type="dxa"/>
            <w:vMerge w:val="continue"/>
            <w:vAlign w:val="center"/>
          </w:tcPr>
          <w:p w14:paraId="6E44DA89">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leftChars="0" w:firstLine="0" w:firstLineChars="0"/>
              <w:textAlignment w:val="auto"/>
              <w:rPr>
                <w:rFonts w:hint="default" w:ascii="Times New Roman" w:hAnsi="Times New Roman" w:eastAsia="华文仿宋" w:cs="Times New Roman"/>
                <w:color w:val="auto"/>
                <w:sz w:val="24"/>
                <w:szCs w:val="24"/>
                <w:u w:val="none"/>
                <w:vertAlign w:val="baseline"/>
              </w:rPr>
            </w:pPr>
          </w:p>
        </w:tc>
        <w:tc>
          <w:tcPr>
            <w:tcW w:w="3675" w:type="dxa"/>
            <w:vAlign w:val="center"/>
          </w:tcPr>
          <w:p w14:paraId="7233C383">
            <w:pPr>
              <w:keepNext w:val="0"/>
              <w:keepLines w:val="0"/>
              <w:pageBreakBefore w:val="0"/>
              <w:widowControl w:val="0"/>
              <w:kinsoku/>
              <w:wordWrap/>
              <w:overflowPunct/>
              <w:topLinePunct w:val="0"/>
              <w:autoSpaceDE/>
              <w:autoSpaceDN/>
              <w:bidi w:val="0"/>
              <w:adjustRightInd/>
              <w:snapToGrid/>
              <w:spacing w:beforeAutospacing="0" w:afterAutospacing="0" w:line="340" w:lineRule="exact"/>
              <w:ind w:left="0" w:leftChars="0" w:firstLine="0" w:firstLineChars="0"/>
              <w:textAlignment w:val="auto"/>
              <w:rPr>
                <w:rFonts w:hint="default" w:ascii="Times New Roman" w:hAnsi="Times New Roman" w:eastAsia="华文仿宋" w:cs="Times New Roman"/>
                <w:color w:val="auto"/>
                <w:sz w:val="24"/>
                <w:szCs w:val="24"/>
                <w:u w:val="none"/>
                <w:vertAlign w:val="baseline"/>
              </w:rPr>
            </w:pPr>
            <w:r>
              <w:rPr>
                <w:rFonts w:hint="default" w:ascii="Times New Roman" w:hAnsi="Times New Roman" w:eastAsia="华文仿宋" w:cs="Times New Roman"/>
                <w:color w:val="auto"/>
                <w:sz w:val="24"/>
                <w:szCs w:val="24"/>
                <w:u w:val="none"/>
                <w:vertAlign w:val="baseline"/>
              </w:rPr>
              <w:t>建筑垃圾电子转移联单闭环率（%）</w:t>
            </w:r>
          </w:p>
        </w:tc>
        <w:tc>
          <w:tcPr>
            <w:tcW w:w="1237" w:type="dxa"/>
            <w:vAlign w:val="center"/>
          </w:tcPr>
          <w:p w14:paraId="51066370">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leftChars="0" w:firstLine="0" w:firstLineChars="0"/>
              <w:jc w:val="center"/>
              <w:textAlignment w:val="auto"/>
              <w:rPr>
                <w:rFonts w:hint="default" w:ascii="Times New Roman" w:hAnsi="Times New Roman" w:eastAsia="华文仿宋" w:cs="Times New Roman"/>
                <w:color w:val="auto"/>
                <w:kern w:val="2"/>
                <w:sz w:val="24"/>
                <w:szCs w:val="24"/>
                <w:highlight w:val="none"/>
                <w:u w:val="none"/>
                <w:vertAlign w:val="baseline"/>
                <w:lang w:val="en-US" w:eastAsia="zh-CN" w:bidi="ar-SA"/>
              </w:rPr>
            </w:pPr>
            <w:r>
              <w:rPr>
                <w:rFonts w:hint="default" w:ascii="Times New Roman" w:hAnsi="Times New Roman" w:eastAsia="华文仿宋" w:cs="Times New Roman"/>
                <w:color w:val="auto"/>
                <w:sz w:val="24"/>
                <w:szCs w:val="24"/>
                <w:highlight w:val="none"/>
                <w:u w:val="none"/>
                <w:vertAlign w:val="baseline"/>
              </w:rPr>
              <w:t>＞</w:t>
            </w:r>
            <w:r>
              <w:rPr>
                <w:rFonts w:hint="default" w:ascii="Times New Roman" w:hAnsi="Times New Roman" w:eastAsia="华文仿宋" w:cs="Times New Roman"/>
                <w:color w:val="auto"/>
                <w:sz w:val="24"/>
                <w:szCs w:val="24"/>
                <w:highlight w:val="none"/>
                <w:u w:val="none"/>
                <w:vertAlign w:val="baseline"/>
                <w:lang w:val="en-US" w:eastAsia="zh-CN"/>
              </w:rPr>
              <w:t>30</w:t>
            </w:r>
          </w:p>
        </w:tc>
        <w:tc>
          <w:tcPr>
            <w:tcW w:w="1230" w:type="dxa"/>
            <w:vAlign w:val="center"/>
          </w:tcPr>
          <w:p w14:paraId="7C21C631">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leftChars="0" w:firstLine="0" w:firstLineChars="0"/>
              <w:jc w:val="center"/>
              <w:textAlignment w:val="auto"/>
              <w:rPr>
                <w:rFonts w:hint="default" w:ascii="Times New Roman" w:hAnsi="Times New Roman" w:eastAsia="华文仿宋" w:cs="Times New Roman"/>
                <w:color w:val="auto"/>
                <w:sz w:val="24"/>
                <w:szCs w:val="24"/>
                <w:highlight w:val="none"/>
                <w:u w:val="none"/>
                <w:vertAlign w:val="baseline"/>
                <w:lang w:val="en-US" w:eastAsia="zh-CN"/>
              </w:rPr>
            </w:pPr>
            <w:r>
              <w:rPr>
                <w:rFonts w:hint="default" w:ascii="Times New Roman" w:hAnsi="Times New Roman" w:eastAsia="华文仿宋" w:cs="Times New Roman"/>
                <w:color w:val="auto"/>
                <w:sz w:val="24"/>
                <w:szCs w:val="24"/>
                <w:highlight w:val="none"/>
                <w:u w:val="none"/>
                <w:vertAlign w:val="baseline"/>
              </w:rPr>
              <w:t>＞</w:t>
            </w:r>
            <w:r>
              <w:rPr>
                <w:rFonts w:hint="default" w:ascii="Times New Roman" w:hAnsi="Times New Roman" w:eastAsia="华文仿宋" w:cs="Times New Roman"/>
                <w:color w:val="auto"/>
                <w:sz w:val="24"/>
                <w:szCs w:val="24"/>
                <w:highlight w:val="none"/>
                <w:u w:val="none"/>
                <w:vertAlign w:val="baseline"/>
                <w:lang w:val="en-US" w:eastAsia="zh-CN"/>
              </w:rPr>
              <w:t>80</w:t>
            </w:r>
          </w:p>
        </w:tc>
        <w:tc>
          <w:tcPr>
            <w:tcW w:w="954" w:type="dxa"/>
            <w:vAlign w:val="center"/>
          </w:tcPr>
          <w:p w14:paraId="5CA9C09B">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leftChars="0" w:firstLine="0" w:firstLineChars="0"/>
              <w:jc w:val="center"/>
              <w:textAlignment w:val="auto"/>
              <w:rPr>
                <w:rFonts w:hint="default" w:ascii="Times New Roman" w:hAnsi="Times New Roman" w:eastAsia="华文仿宋" w:cs="Times New Roman"/>
                <w:color w:val="auto"/>
                <w:sz w:val="24"/>
                <w:szCs w:val="24"/>
                <w:u w:val="none"/>
                <w:vertAlign w:val="baseline"/>
              </w:rPr>
            </w:pPr>
            <w:r>
              <w:rPr>
                <w:rFonts w:hint="default" w:ascii="Times New Roman" w:hAnsi="Times New Roman" w:eastAsia="华文仿宋" w:cs="Times New Roman"/>
                <w:color w:val="auto"/>
                <w:sz w:val="24"/>
                <w:szCs w:val="24"/>
                <w:u w:val="none"/>
                <w:vertAlign w:val="baseline"/>
              </w:rPr>
              <w:t>约束性</w:t>
            </w:r>
          </w:p>
        </w:tc>
      </w:tr>
      <w:tr w14:paraId="1657E1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3" w:hRule="atLeast"/>
          <w:jc w:val="center"/>
        </w:trPr>
        <w:tc>
          <w:tcPr>
            <w:tcW w:w="9082" w:type="dxa"/>
            <w:gridSpan w:val="6"/>
            <w:vAlign w:val="center"/>
          </w:tcPr>
          <w:p w14:paraId="520897BD">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default" w:ascii="Times New Roman" w:hAnsi="Times New Roman" w:eastAsia="仿宋_GB2312" w:cs="Times New Roman"/>
                <w:color w:val="auto"/>
                <w:sz w:val="24"/>
                <w:szCs w:val="24"/>
                <w:u w:val="none"/>
                <w:vertAlign w:val="baseline"/>
              </w:rPr>
            </w:pPr>
            <w:r>
              <w:rPr>
                <w:rFonts w:hint="default" w:ascii="Times New Roman" w:hAnsi="Times New Roman" w:eastAsia="仿宋_GB2312" w:cs="Times New Roman"/>
                <w:color w:val="auto"/>
                <w:sz w:val="24"/>
                <w:szCs w:val="24"/>
                <w:u w:val="none"/>
                <w:vertAlign w:val="baseline"/>
              </w:rPr>
              <w:t>备注：1．约束性指标是为实现规划目标，在规划期内不得突破或必须实现的指标</w:t>
            </w:r>
          </w:p>
          <w:p w14:paraId="5315B288">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720" w:firstLineChars="300"/>
              <w:textAlignment w:val="auto"/>
              <w:rPr>
                <w:rFonts w:hint="default" w:ascii="Times New Roman" w:hAnsi="Times New Roman" w:eastAsia="仿宋_GB2312" w:cs="Times New Roman"/>
                <w:color w:val="auto"/>
                <w:spacing w:val="-6"/>
                <w:sz w:val="24"/>
                <w:szCs w:val="24"/>
                <w:highlight w:val="none"/>
                <w:u w:val="none"/>
                <w:vertAlign w:val="baseline"/>
              </w:rPr>
            </w:pPr>
            <w:r>
              <w:rPr>
                <w:rFonts w:hint="default" w:ascii="Times New Roman" w:hAnsi="Times New Roman" w:eastAsia="仿宋_GB2312" w:cs="Times New Roman"/>
                <w:color w:val="auto"/>
                <w:sz w:val="24"/>
                <w:szCs w:val="24"/>
                <w:highlight w:val="none"/>
                <w:u w:val="none"/>
                <w:vertAlign w:val="baseline"/>
              </w:rPr>
              <w:t>2</w:t>
            </w:r>
            <w:r>
              <w:rPr>
                <w:rFonts w:hint="default" w:ascii="Times New Roman" w:hAnsi="Times New Roman" w:eastAsia="仿宋_GB2312" w:cs="Times New Roman"/>
                <w:color w:val="auto"/>
                <w:sz w:val="24"/>
                <w:szCs w:val="24"/>
                <w:u w:val="none"/>
                <w:vertAlign w:val="baseline"/>
              </w:rPr>
              <w:t>．</w:t>
            </w:r>
            <w:r>
              <w:rPr>
                <w:rFonts w:hint="default" w:ascii="Times New Roman" w:hAnsi="Times New Roman" w:eastAsia="仿宋_GB2312" w:cs="Times New Roman"/>
                <w:color w:val="auto"/>
                <w:sz w:val="24"/>
                <w:szCs w:val="24"/>
                <w:highlight w:val="none"/>
                <w:u w:val="none"/>
                <w:vertAlign w:val="baseline"/>
              </w:rPr>
              <w:t>预</w:t>
            </w:r>
            <w:r>
              <w:rPr>
                <w:rFonts w:hint="default" w:ascii="Times New Roman" w:hAnsi="Times New Roman" w:eastAsia="仿宋_GB2312" w:cs="Times New Roman"/>
                <w:color w:val="auto"/>
                <w:spacing w:val="-6"/>
                <w:sz w:val="24"/>
                <w:szCs w:val="24"/>
                <w:highlight w:val="none"/>
                <w:u w:val="none"/>
                <w:vertAlign w:val="baseline"/>
              </w:rPr>
              <w:t>期性指标是指按照经济社会发展预期，规划期内努力实现或不突破的指标</w:t>
            </w:r>
          </w:p>
          <w:p w14:paraId="5A81F587">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720" w:firstLineChars="300"/>
              <w:textAlignment w:val="auto"/>
              <w:rPr>
                <w:rFonts w:hint="default" w:ascii="Times New Roman" w:hAnsi="Times New Roman" w:eastAsia="仿宋_GB2312" w:cs="Times New Roman"/>
                <w:color w:val="auto"/>
                <w:sz w:val="24"/>
                <w:szCs w:val="24"/>
                <w:highlight w:val="none"/>
                <w:u w:val="none"/>
                <w:vertAlign w:val="baseline"/>
                <w:lang w:val="en-US" w:eastAsia="zh-CN"/>
              </w:rPr>
            </w:pPr>
            <w:r>
              <w:rPr>
                <w:rFonts w:hint="default" w:ascii="Times New Roman" w:hAnsi="Times New Roman" w:eastAsia="仿宋_GB2312" w:cs="Times New Roman"/>
                <w:color w:val="auto"/>
                <w:sz w:val="24"/>
                <w:szCs w:val="24"/>
                <w:highlight w:val="none"/>
                <w:u w:val="none"/>
                <w:vertAlign w:val="baseline"/>
                <w:lang w:val="en-US" w:eastAsia="zh-CN"/>
              </w:rPr>
              <w:t>3</w:t>
            </w:r>
            <w:r>
              <w:rPr>
                <w:rFonts w:hint="default" w:ascii="Times New Roman" w:hAnsi="Times New Roman" w:eastAsia="仿宋_GB2312" w:cs="Times New Roman"/>
                <w:color w:val="auto"/>
                <w:sz w:val="24"/>
                <w:szCs w:val="24"/>
                <w:u w:val="none"/>
                <w:vertAlign w:val="baseline"/>
              </w:rPr>
              <w:t>．</w:t>
            </w:r>
            <w:r>
              <w:rPr>
                <w:rFonts w:hint="default" w:ascii="Times New Roman" w:hAnsi="Times New Roman" w:eastAsia="仿宋_GB2312" w:cs="Times New Roman"/>
                <w:color w:val="auto"/>
                <w:sz w:val="24"/>
                <w:szCs w:val="24"/>
                <w:highlight w:val="none"/>
                <w:u w:val="none"/>
                <w:vertAlign w:val="baseline"/>
                <w:lang w:val="en-US" w:eastAsia="zh-CN"/>
              </w:rPr>
              <w:t>无害化处理=资源化利用+直接利用+填埋消纳处置</w:t>
            </w:r>
          </w:p>
          <w:p w14:paraId="0486B877">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720" w:firstLineChars="300"/>
              <w:textAlignment w:val="auto"/>
              <w:rPr>
                <w:rFonts w:hint="default" w:ascii="Times New Roman" w:hAnsi="Times New Roman" w:eastAsia="仿宋_GB2312" w:cs="Times New Roman"/>
                <w:color w:val="auto"/>
                <w:sz w:val="24"/>
                <w:szCs w:val="24"/>
                <w:u w:val="none"/>
                <w:vertAlign w:val="baseline"/>
                <w:lang w:val="en-US" w:eastAsia="zh-CN"/>
              </w:rPr>
            </w:pPr>
            <w:r>
              <w:rPr>
                <w:rFonts w:hint="default" w:ascii="Times New Roman" w:hAnsi="Times New Roman" w:eastAsia="仿宋_GB2312" w:cs="Times New Roman"/>
                <w:color w:val="auto"/>
                <w:sz w:val="24"/>
                <w:szCs w:val="24"/>
                <w:highlight w:val="none"/>
                <w:u w:val="none"/>
                <w:vertAlign w:val="baseline"/>
                <w:lang w:val="en-US" w:eastAsia="zh-CN"/>
              </w:rPr>
              <w:t>4</w:t>
            </w:r>
            <w:r>
              <w:rPr>
                <w:rFonts w:hint="default" w:ascii="Times New Roman" w:hAnsi="Times New Roman" w:eastAsia="仿宋_GB2312" w:cs="Times New Roman"/>
                <w:color w:val="auto"/>
                <w:sz w:val="24"/>
                <w:szCs w:val="24"/>
                <w:u w:val="none"/>
                <w:vertAlign w:val="baseline"/>
              </w:rPr>
              <w:t>．</w:t>
            </w:r>
            <w:r>
              <w:rPr>
                <w:rFonts w:hint="default" w:ascii="Times New Roman" w:hAnsi="Times New Roman" w:eastAsia="仿宋_GB2312" w:cs="Times New Roman"/>
                <w:color w:val="auto"/>
                <w:sz w:val="24"/>
                <w:szCs w:val="24"/>
                <w:highlight w:val="none"/>
                <w:u w:val="none"/>
                <w:vertAlign w:val="baseline"/>
                <w:lang w:val="en-US" w:eastAsia="zh-CN"/>
              </w:rPr>
              <w:t>建筑垃圾综合利用利率（%）=</w:t>
            </w:r>
            <w:r>
              <w:rPr>
                <w:rFonts w:hint="default" w:ascii="Times New Roman" w:hAnsi="Times New Roman" w:eastAsia="仿宋_GB2312" w:cs="Times New Roman"/>
                <w:color w:val="auto"/>
                <w:sz w:val="24"/>
                <w:szCs w:val="24"/>
                <w:u w:val="none"/>
                <w:vertAlign w:val="baseline"/>
                <w:lang w:val="en-US" w:eastAsia="zh-CN"/>
              </w:rPr>
              <w:t>建筑垃圾综合利用总量÷建筑垃圾产生总量×100%</w:t>
            </w:r>
          </w:p>
          <w:p w14:paraId="3B39228C">
            <w:pPr>
              <w:keepNext w:val="0"/>
              <w:keepLines w:val="0"/>
              <w:pageBreakBefore w:val="0"/>
              <w:widowControl w:val="0"/>
              <w:numPr>
                <w:ilvl w:val="0"/>
                <w:numId w:val="4"/>
              </w:numPr>
              <w:kinsoku/>
              <w:wordWrap/>
              <w:overflowPunct/>
              <w:topLinePunct w:val="0"/>
              <w:autoSpaceDE/>
              <w:autoSpaceDN/>
              <w:bidi w:val="0"/>
              <w:adjustRightInd/>
              <w:snapToGrid/>
              <w:spacing w:beforeAutospacing="0" w:afterAutospacing="0" w:line="400" w:lineRule="exact"/>
              <w:ind w:firstLine="720" w:firstLineChars="300"/>
              <w:textAlignment w:val="auto"/>
              <w:rPr>
                <w:rFonts w:hint="default" w:ascii="Times New Roman" w:hAnsi="Times New Roman" w:eastAsia="仿宋_GB2312" w:cs="Times New Roman"/>
                <w:color w:val="auto"/>
                <w:sz w:val="24"/>
                <w:szCs w:val="24"/>
                <w:u w:val="none"/>
                <w:vertAlign w:val="baseline"/>
                <w:lang w:val="en-US" w:eastAsia="zh-CN"/>
              </w:rPr>
            </w:pPr>
            <w:r>
              <w:rPr>
                <w:rFonts w:hint="default" w:ascii="Times New Roman" w:hAnsi="Times New Roman" w:eastAsia="仿宋_GB2312" w:cs="Times New Roman"/>
                <w:color w:val="auto"/>
                <w:sz w:val="24"/>
                <w:szCs w:val="24"/>
                <w:highlight w:val="none"/>
                <w:u w:val="none"/>
                <w:vertAlign w:val="baseline"/>
                <w:lang w:val="en-US" w:eastAsia="zh-CN"/>
              </w:rPr>
              <w:t>建筑垃圾资源化利用率（%）=</w:t>
            </w:r>
            <w:r>
              <w:rPr>
                <w:rFonts w:hint="default" w:ascii="Times New Roman" w:hAnsi="Times New Roman" w:eastAsia="仿宋_GB2312" w:cs="Times New Roman"/>
                <w:color w:val="auto"/>
                <w:sz w:val="24"/>
                <w:szCs w:val="24"/>
                <w:u w:val="none"/>
                <w:vertAlign w:val="baseline"/>
                <w:lang w:val="en-US" w:eastAsia="zh-CN"/>
              </w:rPr>
              <w:t>（工程垃圾+装修垃圾+拆除垃圾）资源化利用量÷（工程垃圾+装修垃圾+拆除垃圾）产生量×100%</w:t>
            </w:r>
          </w:p>
          <w:p w14:paraId="42EA7B73">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720" w:firstLineChars="300"/>
              <w:textAlignment w:val="auto"/>
              <w:rPr>
                <w:rFonts w:hint="default" w:ascii="Times New Roman" w:hAnsi="Times New Roman" w:eastAsia="仿宋_GB2312" w:cs="Times New Roman"/>
                <w:color w:val="auto"/>
                <w:sz w:val="24"/>
                <w:szCs w:val="24"/>
                <w:u w:val="none"/>
                <w:vertAlign w:val="baseline"/>
                <w:lang w:val="en-US" w:eastAsia="zh-CN"/>
              </w:rPr>
            </w:pPr>
            <w:r>
              <w:rPr>
                <w:rFonts w:hint="default" w:ascii="Times New Roman" w:hAnsi="Times New Roman" w:eastAsia="仿宋_GB2312" w:cs="Times New Roman"/>
                <w:color w:val="auto"/>
                <w:sz w:val="24"/>
                <w:szCs w:val="24"/>
                <w:u w:val="none"/>
                <w:vertAlign w:val="baseline"/>
                <w:lang w:val="en-US" w:eastAsia="zh-CN"/>
              </w:rPr>
              <w:t>6</w:t>
            </w:r>
            <w:r>
              <w:rPr>
                <w:rFonts w:hint="default" w:ascii="Times New Roman" w:hAnsi="Times New Roman" w:eastAsia="仿宋_GB2312" w:cs="Times New Roman"/>
                <w:color w:val="auto"/>
                <w:sz w:val="24"/>
                <w:szCs w:val="24"/>
                <w:u w:val="none"/>
                <w:vertAlign w:val="baseline"/>
              </w:rPr>
              <w:t>．</w:t>
            </w:r>
            <w:r>
              <w:rPr>
                <w:rFonts w:hint="default" w:ascii="Times New Roman" w:hAnsi="Times New Roman" w:eastAsia="仿宋_GB2312" w:cs="Times New Roman"/>
                <w:color w:val="auto"/>
                <w:sz w:val="24"/>
                <w:szCs w:val="24"/>
                <w:u w:val="none"/>
                <w:vertAlign w:val="baseline"/>
                <w:lang w:val="en-US" w:eastAsia="zh-CN"/>
              </w:rPr>
              <w:t>建筑垃圾运输车船卫星定位装置接入率（%）=接入监控平台运输车船数量÷全部运输车船数量×100%</w:t>
            </w:r>
          </w:p>
          <w:p w14:paraId="05ACD62A">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480" w:firstLineChars="200"/>
              <w:textAlignment w:val="auto"/>
              <w:rPr>
                <w:rFonts w:hint="default" w:ascii="Times New Roman" w:hAnsi="Times New Roman" w:eastAsia="仿宋_GB2312" w:cs="Times New Roman"/>
                <w:color w:val="auto"/>
                <w:sz w:val="24"/>
                <w:szCs w:val="24"/>
                <w:u w:val="none"/>
                <w:vertAlign w:val="baseline"/>
              </w:rPr>
            </w:pPr>
            <w:r>
              <w:rPr>
                <w:rFonts w:hint="default" w:ascii="Times New Roman" w:hAnsi="Times New Roman" w:eastAsia="仿宋_GB2312" w:cs="Times New Roman"/>
                <w:color w:val="auto"/>
                <w:sz w:val="24"/>
                <w:szCs w:val="24"/>
                <w:u w:val="none"/>
                <w:vertAlign w:val="baseline"/>
                <w:lang w:val="en-US" w:eastAsia="zh-CN"/>
              </w:rPr>
              <w:t>7</w:t>
            </w:r>
            <w:r>
              <w:rPr>
                <w:rFonts w:hint="default" w:ascii="Times New Roman" w:hAnsi="Times New Roman" w:eastAsia="仿宋_GB2312" w:cs="Times New Roman"/>
                <w:color w:val="auto"/>
                <w:sz w:val="24"/>
                <w:szCs w:val="24"/>
                <w:u w:val="none"/>
                <w:vertAlign w:val="baseline"/>
              </w:rPr>
              <w:t>．工程项目视频监控接入率（%）=接入监控的工程项目数量÷应安装监控的工程项目数量×100%</w:t>
            </w:r>
          </w:p>
          <w:p w14:paraId="54D8F1E4">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480" w:firstLineChars="200"/>
              <w:textAlignment w:val="auto"/>
              <w:rPr>
                <w:rFonts w:hint="default" w:ascii="Times New Roman" w:hAnsi="Times New Roman" w:eastAsia="仿宋_GB2312" w:cs="Times New Roman"/>
                <w:color w:val="auto"/>
                <w:sz w:val="24"/>
                <w:szCs w:val="24"/>
                <w:u w:val="none"/>
                <w:vertAlign w:val="baseline"/>
                <w:lang w:val="en-US" w:eastAsia="zh-CN"/>
              </w:rPr>
            </w:pPr>
            <w:r>
              <w:rPr>
                <w:rFonts w:hint="default" w:ascii="Times New Roman" w:hAnsi="Times New Roman" w:eastAsia="仿宋_GB2312" w:cs="Times New Roman"/>
                <w:color w:val="auto"/>
                <w:sz w:val="24"/>
                <w:szCs w:val="24"/>
                <w:u w:val="none"/>
                <w:vertAlign w:val="baseline"/>
                <w:lang w:val="en-US" w:eastAsia="zh-CN"/>
              </w:rPr>
              <w:t>8</w:t>
            </w:r>
            <w:r>
              <w:rPr>
                <w:rFonts w:hint="default" w:ascii="Times New Roman" w:hAnsi="Times New Roman" w:eastAsia="仿宋_GB2312" w:cs="Times New Roman"/>
                <w:color w:val="auto"/>
                <w:sz w:val="24"/>
                <w:szCs w:val="24"/>
                <w:u w:val="none"/>
                <w:vertAlign w:val="baseline"/>
              </w:rPr>
              <w:t>．建筑垃圾消纳场所视频监控接入率（%）=接入视频监控的消纳场所数量÷实</w:t>
            </w:r>
            <w:r>
              <w:rPr>
                <w:rFonts w:hint="default" w:ascii="Times New Roman" w:hAnsi="Times New Roman" w:eastAsia="仿宋_GB2312" w:cs="Times New Roman"/>
                <w:color w:val="auto"/>
                <w:sz w:val="24"/>
                <w:szCs w:val="24"/>
                <w:u w:val="none"/>
                <w:vertAlign w:val="baseline"/>
                <w:lang w:val="en-US" w:eastAsia="zh-CN"/>
              </w:rPr>
              <w:t>际运行消纳场所数量×100%</w:t>
            </w:r>
          </w:p>
          <w:p w14:paraId="37300E05">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480" w:firstLineChars="200"/>
              <w:textAlignment w:val="auto"/>
              <w:rPr>
                <w:rFonts w:hint="default" w:ascii="Times New Roman" w:hAnsi="Times New Roman" w:eastAsia="仿宋_GB2312" w:cs="Times New Roman"/>
                <w:color w:val="auto"/>
                <w:sz w:val="24"/>
                <w:szCs w:val="24"/>
                <w:u w:val="none"/>
                <w:vertAlign w:val="baseline"/>
              </w:rPr>
            </w:pPr>
            <w:r>
              <w:rPr>
                <w:rFonts w:hint="default" w:ascii="Times New Roman" w:hAnsi="Times New Roman" w:eastAsia="仿宋_GB2312" w:cs="Times New Roman"/>
                <w:color w:val="auto"/>
                <w:sz w:val="24"/>
                <w:szCs w:val="24"/>
                <w:u w:val="none"/>
                <w:vertAlign w:val="baseline"/>
                <w:lang w:val="en-US" w:eastAsia="zh-CN"/>
              </w:rPr>
              <w:t>9</w:t>
            </w:r>
            <w:r>
              <w:rPr>
                <w:rFonts w:hint="default" w:ascii="Times New Roman" w:hAnsi="Times New Roman" w:eastAsia="仿宋_GB2312" w:cs="Times New Roman"/>
                <w:color w:val="auto"/>
                <w:sz w:val="24"/>
                <w:szCs w:val="24"/>
                <w:u w:val="none"/>
                <w:vertAlign w:val="baseline"/>
              </w:rPr>
              <w:t>．建筑垃圾收运率（%）=使用合法建筑垃圾运输车车辆和船舶收运且规范处置的建筑垃圾总量÷领取建筑垃圾处置核准手续的建筑垃圾总量×100%</w:t>
            </w:r>
          </w:p>
          <w:p w14:paraId="53B6E11A">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480" w:firstLineChars="200"/>
              <w:textAlignment w:val="auto"/>
              <w:rPr>
                <w:rFonts w:hint="default" w:ascii="Times New Roman" w:hAnsi="Times New Roman" w:eastAsia="华文仿宋" w:cs="Times New Roman"/>
                <w:color w:val="auto"/>
                <w:sz w:val="24"/>
                <w:szCs w:val="24"/>
                <w:u w:val="none"/>
                <w:vertAlign w:val="baseline"/>
                <w:lang w:val="en-US" w:eastAsia="zh-CN"/>
              </w:rPr>
            </w:pPr>
            <w:r>
              <w:rPr>
                <w:rFonts w:hint="default" w:ascii="Times New Roman" w:hAnsi="Times New Roman" w:eastAsia="仿宋_GB2312" w:cs="Times New Roman"/>
                <w:color w:val="auto"/>
                <w:sz w:val="24"/>
                <w:szCs w:val="24"/>
                <w:u w:val="none"/>
                <w:vertAlign w:val="baseline"/>
                <w:lang w:val="en-US" w:eastAsia="zh-CN"/>
              </w:rPr>
              <w:t>10</w:t>
            </w:r>
            <w:r>
              <w:rPr>
                <w:rFonts w:hint="default" w:ascii="Times New Roman" w:hAnsi="Times New Roman" w:eastAsia="仿宋_GB2312" w:cs="Times New Roman"/>
                <w:color w:val="auto"/>
                <w:sz w:val="24"/>
                <w:szCs w:val="24"/>
                <w:u w:val="none"/>
                <w:vertAlign w:val="baseline"/>
              </w:rPr>
              <w:t>．建筑垃圾电子转移联单闭环率（%）=闭环运行建筑垃圾电子转移联单数量÷全部电子转移联单数量×100%</w:t>
            </w:r>
          </w:p>
        </w:tc>
      </w:tr>
    </w:tbl>
    <w:p w14:paraId="0028356A">
      <w:pPr>
        <w:pageBreakBefore w:val="0"/>
        <w:kinsoku/>
        <w:wordWrap/>
        <w:topLinePunct w:val="0"/>
        <w:bidi w:val="0"/>
        <w:spacing w:beforeAutospacing="0" w:afterAutospacing="0" w:line="560" w:lineRule="exact"/>
        <w:ind w:left="0" w:leftChars="0"/>
        <w:rPr>
          <w:rFonts w:hint="eastAsia"/>
          <w:color w:val="auto"/>
          <w:u w:val="none"/>
          <w:lang w:val="en-US" w:eastAsia="zh-CN"/>
        </w:rPr>
      </w:pPr>
    </w:p>
    <w:p w14:paraId="7BCC26FD">
      <w:pPr>
        <w:pageBreakBefore w:val="0"/>
        <w:kinsoku/>
        <w:wordWrap/>
        <w:topLinePunct w:val="0"/>
        <w:bidi w:val="0"/>
        <w:spacing w:beforeAutospacing="0" w:afterAutospacing="0" w:line="560" w:lineRule="exact"/>
        <w:ind w:left="0" w:leftChars="0"/>
        <w:rPr>
          <w:rFonts w:hint="eastAsia" w:ascii="Times New Roman" w:hAnsi="Times New Roman"/>
          <w:color w:val="auto"/>
          <w:u w:val="none"/>
          <w:lang w:val="en-US" w:eastAsia="zh-CN"/>
        </w:rPr>
      </w:pPr>
      <w:bookmarkStart w:id="39" w:name="_Toc21332"/>
      <w:r>
        <w:rPr>
          <w:rFonts w:hint="eastAsia" w:ascii="Times New Roman" w:hAnsi="Times New Roman"/>
          <w:color w:val="auto"/>
          <w:u w:val="none"/>
          <w:lang w:val="en-US" w:eastAsia="zh-CN"/>
        </w:rPr>
        <w:br w:type="page"/>
      </w:r>
    </w:p>
    <w:p w14:paraId="69D0DE5E">
      <w:pPr>
        <w:pStyle w:val="2"/>
        <w:pageBreakBefore w:val="0"/>
        <w:kinsoku/>
        <w:wordWrap/>
        <w:topLinePunct w:val="0"/>
        <w:bidi w:val="0"/>
        <w:spacing w:before="0" w:beforeLines="0" w:beforeAutospacing="0" w:after="0" w:afterLines="0" w:afterAutospacing="0" w:line="560" w:lineRule="exact"/>
        <w:ind w:left="0" w:leftChars="0" w:firstLine="640" w:firstLineChars="200"/>
        <w:jc w:val="both"/>
        <w:rPr>
          <w:rFonts w:hint="default" w:ascii="Times New Roman" w:hAnsi="Times New Roman" w:eastAsia="仿宋_GB2312" w:cs="Times New Roman"/>
          <w:b w:val="0"/>
          <w:bCs/>
          <w:color w:val="auto"/>
          <w:sz w:val="32"/>
          <w:szCs w:val="32"/>
          <w:u w:val="none"/>
          <w:lang w:val="en-US" w:eastAsia="zh-CN"/>
        </w:rPr>
      </w:pPr>
      <w:bookmarkStart w:id="40" w:name="_Toc13215"/>
      <w:bookmarkStart w:id="41" w:name="_Toc15786"/>
      <w:r>
        <w:rPr>
          <w:rFonts w:hint="eastAsia" w:ascii="黑体" w:hAnsi="黑体" w:eastAsia="黑体" w:cs="黑体"/>
          <w:b w:val="0"/>
          <w:bCs/>
          <w:color w:val="auto"/>
          <w:sz w:val="32"/>
          <w:szCs w:val="32"/>
          <w:u w:val="none"/>
          <w:lang w:val="en-US" w:eastAsia="zh-CN"/>
        </w:rPr>
        <w:t>四、产生量及处理规模预测</w:t>
      </w:r>
      <w:bookmarkEnd w:id="39"/>
      <w:bookmarkEnd w:id="40"/>
      <w:bookmarkEnd w:id="41"/>
    </w:p>
    <w:p w14:paraId="321B675F">
      <w:pPr>
        <w:pStyle w:val="3"/>
        <w:pageBreakBefore w:val="0"/>
        <w:kinsoku/>
        <w:wordWrap/>
        <w:topLinePunct w:val="0"/>
        <w:bidi w:val="0"/>
        <w:spacing w:beforeAutospacing="0" w:afterAutospacing="0" w:line="560" w:lineRule="exact"/>
        <w:ind w:left="0" w:leftChars="0" w:firstLine="640" w:firstLineChars="200"/>
        <w:rPr>
          <w:rFonts w:hint="default" w:ascii="Times New Roman" w:hAnsi="Times New Roman" w:eastAsia="仿宋_GB2312" w:cs="Times New Roman"/>
          <w:b w:val="0"/>
          <w:bCs/>
          <w:color w:val="auto"/>
          <w:sz w:val="32"/>
          <w:szCs w:val="32"/>
          <w:highlight w:val="none"/>
          <w:u w:val="none"/>
          <w:lang w:val="en-US" w:eastAsia="zh-CN"/>
        </w:rPr>
      </w:pPr>
      <w:bookmarkStart w:id="42" w:name="_Toc21222"/>
      <w:bookmarkStart w:id="43" w:name="_Toc1052"/>
      <w:bookmarkStart w:id="44" w:name="_Toc7894"/>
      <w:r>
        <w:rPr>
          <w:rFonts w:hint="eastAsia" w:ascii="楷体_GB2312" w:hAnsi="楷体_GB2312" w:eastAsia="楷体_GB2312" w:cs="楷体_GB2312"/>
          <w:b w:val="0"/>
          <w:bCs/>
          <w:color w:val="auto"/>
          <w:sz w:val="32"/>
          <w:szCs w:val="32"/>
          <w:highlight w:val="none"/>
          <w:u w:val="none"/>
          <w:lang w:val="en-US" w:eastAsia="zh-CN"/>
        </w:rPr>
        <w:t>（一）建筑垃圾产生量预测</w:t>
      </w:r>
      <w:bookmarkEnd w:id="42"/>
      <w:bookmarkEnd w:id="43"/>
      <w:bookmarkEnd w:id="44"/>
    </w:p>
    <w:p w14:paraId="4985BB4D">
      <w:pPr>
        <w:pageBreakBefore w:val="0"/>
        <w:kinsoku/>
        <w:wordWrap/>
        <w:topLinePunct w:val="0"/>
        <w:bidi w:val="0"/>
        <w:spacing w:beforeAutospacing="0" w:afterAutospacing="0" w:line="560" w:lineRule="exact"/>
        <w:ind w:left="0" w:leftChars="0" w:firstLine="640" w:firstLineChars="200"/>
        <w:rPr>
          <w:rFonts w:hint="default" w:ascii="Times New Roman" w:hAnsi="Times New Roman" w:eastAsia="仿宋_GB2312" w:cs="Times New Roman"/>
          <w:b w:val="0"/>
          <w:bCs/>
          <w:color w:val="auto"/>
          <w:sz w:val="32"/>
          <w:szCs w:val="32"/>
          <w:u w:val="none"/>
          <w:lang w:val="en-US" w:eastAsia="zh-CN"/>
        </w:rPr>
      </w:pPr>
      <w:r>
        <w:rPr>
          <w:rFonts w:hint="default" w:ascii="Times New Roman" w:hAnsi="Times New Roman" w:eastAsia="仿宋_GB2312" w:cs="Times New Roman"/>
          <w:b w:val="0"/>
          <w:bCs/>
          <w:color w:val="auto"/>
          <w:sz w:val="32"/>
          <w:szCs w:val="32"/>
          <w:u w:val="none"/>
          <w:lang w:val="en-US" w:eastAsia="zh-CN"/>
        </w:rPr>
        <w:t>1</w:t>
      </w:r>
      <w:r>
        <w:rPr>
          <w:rFonts w:hint="eastAsia" w:ascii="Times New Roman" w:hAnsi="Times New Roman" w:eastAsia="仿宋_GB2312" w:cs="Times New Roman"/>
          <w:b w:val="0"/>
          <w:bCs/>
          <w:color w:val="auto"/>
          <w:sz w:val="32"/>
          <w:szCs w:val="32"/>
          <w:u w:val="none"/>
          <w:lang w:val="en-US" w:eastAsia="zh-CN"/>
        </w:rPr>
        <w:t>．</w:t>
      </w:r>
      <w:r>
        <w:rPr>
          <w:rFonts w:hint="default" w:ascii="Times New Roman" w:hAnsi="Times New Roman" w:eastAsia="仿宋_GB2312" w:cs="Times New Roman"/>
          <w:b w:val="0"/>
          <w:bCs/>
          <w:color w:val="auto"/>
          <w:sz w:val="32"/>
          <w:szCs w:val="32"/>
          <w:u w:val="none"/>
          <w:lang w:val="en-US" w:eastAsia="zh-CN"/>
        </w:rPr>
        <w:t>工程渣土预测</w:t>
      </w:r>
    </w:p>
    <w:p w14:paraId="58708940">
      <w:pPr>
        <w:pageBreakBefore w:val="0"/>
        <w:kinsoku/>
        <w:wordWrap/>
        <w:topLinePunct w:val="0"/>
        <w:bidi w:val="0"/>
        <w:spacing w:beforeAutospacing="0" w:afterAutospacing="0" w:line="560" w:lineRule="exact"/>
        <w:ind w:left="0" w:leftChars="0" w:firstLine="640" w:firstLineChars="200"/>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（1）工程</w:t>
      </w:r>
      <w:r>
        <w:rPr>
          <w:rFonts w:hint="default" w:ascii="Times New Roman" w:hAnsi="Times New Roman" w:eastAsia="仿宋_GB2312" w:cs="Times New Roman"/>
          <w:color w:val="auto"/>
          <w:sz w:val="32"/>
          <w:szCs w:val="32"/>
          <w:highlight w:val="none"/>
          <w:u w:val="none"/>
          <w:lang w:eastAsia="zh-CN"/>
        </w:rPr>
        <w:t>渣土</w:t>
      </w:r>
      <w:r>
        <w:rPr>
          <w:rFonts w:hint="default" w:ascii="Times New Roman" w:hAnsi="Times New Roman" w:eastAsia="仿宋_GB2312" w:cs="Times New Roman"/>
          <w:color w:val="auto"/>
          <w:sz w:val="32"/>
          <w:szCs w:val="32"/>
          <w:highlight w:val="none"/>
          <w:u w:val="none"/>
        </w:rPr>
        <w:t>的预测方法：</w:t>
      </w:r>
    </w:p>
    <w:p w14:paraId="0BD3EE4A">
      <w:pPr>
        <w:pageBreakBefore w:val="0"/>
        <w:kinsoku/>
        <w:wordWrap/>
        <w:topLinePunct w:val="0"/>
        <w:bidi w:val="0"/>
        <w:spacing w:beforeAutospacing="0" w:afterAutospacing="0" w:line="560" w:lineRule="exact"/>
        <w:ind w:left="0" w:leftChars="0" w:firstLine="640" w:firstLineChars="200"/>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color w:val="auto"/>
          <w:sz w:val="32"/>
          <w:szCs w:val="32"/>
          <w:highlight w:val="none"/>
          <w:u w:val="none"/>
        </w:rPr>
        <w:t>M</w:t>
      </w:r>
      <w:r>
        <w:rPr>
          <w:rFonts w:hint="default" w:ascii="Times New Roman" w:hAnsi="Times New Roman" w:eastAsia="仿宋_GB2312" w:cs="Times New Roman"/>
          <w:color w:val="auto"/>
          <w:sz w:val="32"/>
          <w:szCs w:val="32"/>
          <w:highlight w:val="none"/>
          <w:u w:val="none"/>
          <w:vertAlign w:val="subscript"/>
          <w:lang w:val="en-US" w:eastAsia="zh-CN"/>
        </w:rPr>
        <w:t>z</w:t>
      </w:r>
      <w:r>
        <w:rPr>
          <w:rFonts w:hint="default" w:ascii="Times New Roman" w:hAnsi="Times New Roman" w:eastAsia="仿宋_GB2312" w:cs="Times New Roman"/>
          <w:color w:val="auto"/>
          <w:sz w:val="32"/>
          <w:szCs w:val="32"/>
          <w:highlight w:val="none"/>
          <w:u w:val="none"/>
        </w:rPr>
        <w:t>=R</w:t>
      </w:r>
      <w:r>
        <w:rPr>
          <w:rFonts w:hint="default" w:ascii="Times New Roman" w:hAnsi="Times New Roman" w:eastAsia="仿宋_GB2312" w:cs="Times New Roman"/>
          <w:color w:val="auto"/>
          <w:sz w:val="32"/>
          <w:szCs w:val="32"/>
          <w:highlight w:val="none"/>
          <w:u w:val="none"/>
          <w:vertAlign w:val="subscript"/>
        </w:rPr>
        <w:t>g</w:t>
      </w:r>
      <w:r>
        <w:rPr>
          <w:rFonts w:hint="default" w:ascii="Times New Roman" w:hAnsi="Times New Roman" w:eastAsia="仿宋_GB2312" w:cs="Times New Roman"/>
          <w:color w:val="auto"/>
          <w:sz w:val="32"/>
          <w:szCs w:val="32"/>
          <w:highlight w:val="none"/>
          <w:u w:val="none"/>
        </w:rPr>
        <w:t>×m</w:t>
      </w:r>
      <w:r>
        <w:rPr>
          <w:rFonts w:hint="default" w:ascii="Times New Roman" w:hAnsi="Times New Roman" w:eastAsia="仿宋_GB2312" w:cs="Times New Roman"/>
          <w:color w:val="auto"/>
          <w:sz w:val="32"/>
          <w:szCs w:val="32"/>
          <w:highlight w:val="none"/>
          <w:u w:val="none"/>
          <w:vertAlign w:val="subscript"/>
          <w:lang w:val="en-US" w:eastAsia="zh-CN"/>
        </w:rPr>
        <w:t>z</w:t>
      </w:r>
    </w:p>
    <w:p w14:paraId="1CAC80DF">
      <w:pPr>
        <w:pageBreakBefore w:val="0"/>
        <w:kinsoku/>
        <w:wordWrap/>
        <w:topLinePunct w:val="0"/>
        <w:bidi w:val="0"/>
        <w:spacing w:beforeAutospacing="0" w:afterAutospacing="0" w:line="560" w:lineRule="exact"/>
        <w:ind w:left="0" w:leftChars="0" w:firstLine="640" w:firstLineChars="200"/>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式中：M</w:t>
      </w:r>
      <w:r>
        <w:rPr>
          <w:rFonts w:hint="default" w:ascii="Times New Roman" w:hAnsi="Times New Roman" w:eastAsia="仿宋_GB2312" w:cs="Times New Roman"/>
          <w:color w:val="auto"/>
          <w:sz w:val="32"/>
          <w:szCs w:val="32"/>
          <w:highlight w:val="none"/>
          <w:u w:val="none"/>
          <w:vertAlign w:val="subscript"/>
          <w:lang w:val="en-US" w:eastAsia="zh-CN"/>
        </w:rPr>
        <w:t>z</w:t>
      </w:r>
      <w:r>
        <w:rPr>
          <w:rFonts w:hint="eastAsia" w:ascii="仿宋_GB2312" w:hAnsi="仿宋_GB2312" w:eastAsia="仿宋_GB2312" w:cs="仿宋_GB2312"/>
          <w:color w:val="auto"/>
          <w:sz w:val="32"/>
          <w:szCs w:val="32"/>
          <w:highlight w:val="none"/>
          <w:u w:val="none"/>
        </w:rPr>
        <w:t>—</w:t>
      </w:r>
      <w:r>
        <w:rPr>
          <w:rFonts w:hint="default" w:ascii="Times New Roman" w:hAnsi="Times New Roman" w:eastAsia="仿宋_GB2312" w:cs="Times New Roman"/>
          <w:color w:val="auto"/>
          <w:sz w:val="32"/>
          <w:szCs w:val="32"/>
          <w:highlight w:val="none"/>
          <w:u w:val="none"/>
        </w:rPr>
        <w:t>某城市或区域工程</w:t>
      </w:r>
      <w:r>
        <w:rPr>
          <w:rFonts w:hint="default" w:ascii="Times New Roman" w:hAnsi="Times New Roman" w:eastAsia="仿宋_GB2312" w:cs="Times New Roman"/>
          <w:color w:val="auto"/>
          <w:sz w:val="32"/>
          <w:szCs w:val="32"/>
          <w:highlight w:val="none"/>
          <w:u w:val="none"/>
          <w:lang w:eastAsia="zh-CN"/>
        </w:rPr>
        <w:t>渣土</w:t>
      </w:r>
      <w:r>
        <w:rPr>
          <w:rFonts w:hint="default" w:ascii="Times New Roman" w:hAnsi="Times New Roman" w:eastAsia="仿宋_GB2312" w:cs="Times New Roman"/>
          <w:color w:val="auto"/>
          <w:sz w:val="32"/>
          <w:szCs w:val="32"/>
          <w:highlight w:val="none"/>
          <w:u w:val="none"/>
        </w:rPr>
        <w:t>产生量，</w:t>
      </w:r>
      <w:r>
        <w:rPr>
          <w:rFonts w:hint="default" w:ascii="Times New Roman" w:hAnsi="Times New Roman" w:eastAsia="仿宋_GB2312" w:cs="Times New Roman"/>
          <w:color w:val="auto"/>
          <w:sz w:val="32"/>
          <w:szCs w:val="32"/>
          <w:highlight w:val="none"/>
          <w:u w:val="none"/>
          <w:lang w:eastAsia="zh-CN"/>
        </w:rPr>
        <w:t>万吨</w:t>
      </w:r>
      <w:r>
        <w:rPr>
          <w:rFonts w:hint="default" w:ascii="Times New Roman" w:hAnsi="Times New Roman" w:eastAsia="仿宋_GB2312" w:cs="Times New Roman"/>
          <w:color w:val="auto"/>
          <w:sz w:val="32"/>
          <w:szCs w:val="32"/>
          <w:highlight w:val="none"/>
          <w:u w:val="none"/>
        </w:rPr>
        <w:t>/</w:t>
      </w:r>
      <w:r>
        <w:rPr>
          <w:rFonts w:hint="default" w:ascii="Times New Roman" w:hAnsi="Times New Roman" w:eastAsia="仿宋_GB2312" w:cs="Times New Roman"/>
          <w:color w:val="auto"/>
          <w:sz w:val="32"/>
          <w:szCs w:val="32"/>
          <w:highlight w:val="none"/>
          <w:u w:val="none"/>
          <w:lang w:eastAsia="zh-CN"/>
        </w:rPr>
        <w:t>年</w:t>
      </w:r>
      <w:r>
        <w:rPr>
          <w:rFonts w:hint="default" w:ascii="Times New Roman" w:hAnsi="Times New Roman" w:eastAsia="仿宋_GB2312" w:cs="Times New Roman"/>
          <w:color w:val="auto"/>
          <w:sz w:val="32"/>
          <w:szCs w:val="32"/>
          <w:highlight w:val="none"/>
          <w:u w:val="none"/>
        </w:rPr>
        <w:t>；</w:t>
      </w:r>
    </w:p>
    <w:p w14:paraId="6407289B">
      <w:pPr>
        <w:pageBreakBefore w:val="0"/>
        <w:kinsoku/>
        <w:wordWrap/>
        <w:topLinePunct w:val="0"/>
        <w:bidi w:val="0"/>
        <w:spacing w:beforeAutospacing="0" w:afterAutospacing="0" w:line="560" w:lineRule="exact"/>
        <w:ind w:left="0" w:leftChars="0" w:firstLine="1600" w:firstLineChars="500"/>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R</w:t>
      </w:r>
      <w:r>
        <w:rPr>
          <w:rFonts w:hint="default" w:ascii="Times New Roman" w:hAnsi="Times New Roman" w:eastAsia="仿宋_GB2312" w:cs="Times New Roman"/>
          <w:color w:val="auto"/>
          <w:sz w:val="32"/>
          <w:szCs w:val="32"/>
          <w:highlight w:val="none"/>
          <w:u w:val="none"/>
          <w:vertAlign w:val="subscript"/>
        </w:rPr>
        <w:t>g</w:t>
      </w:r>
      <w:r>
        <w:rPr>
          <w:rFonts w:hint="eastAsia" w:ascii="仿宋_GB2312" w:hAnsi="仿宋_GB2312" w:eastAsia="仿宋_GB2312" w:cs="仿宋_GB2312"/>
          <w:color w:val="auto"/>
          <w:sz w:val="32"/>
          <w:szCs w:val="32"/>
          <w:highlight w:val="none"/>
          <w:u w:val="none"/>
        </w:rPr>
        <w:t>—</w:t>
      </w:r>
      <w:r>
        <w:rPr>
          <w:rFonts w:hint="default" w:ascii="Times New Roman" w:hAnsi="Times New Roman" w:eastAsia="仿宋_GB2312" w:cs="Times New Roman"/>
          <w:color w:val="auto"/>
          <w:sz w:val="32"/>
          <w:szCs w:val="32"/>
          <w:highlight w:val="none"/>
          <w:u w:val="none"/>
        </w:rPr>
        <w:t>城市或区域新增建筑面积，</w:t>
      </w:r>
      <w:r>
        <w:rPr>
          <w:rFonts w:hint="default" w:ascii="Times New Roman" w:hAnsi="Times New Roman" w:eastAsia="仿宋_GB2312" w:cs="Times New Roman"/>
          <w:color w:val="auto"/>
          <w:sz w:val="32"/>
          <w:szCs w:val="32"/>
          <w:highlight w:val="none"/>
          <w:u w:val="none"/>
          <w:lang w:eastAsia="zh-CN"/>
        </w:rPr>
        <w:t>万平方米</w:t>
      </w:r>
      <w:r>
        <w:rPr>
          <w:rFonts w:hint="default" w:ascii="Times New Roman" w:hAnsi="Times New Roman" w:eastAsia="仿宋_GB2312" w:cs="Times New Roman"/>
          <w:color w:val="auto"/>
          <w:sz w:val="32"/>
          <w:szCs w:val="32"/>
          <w:highlight w:val="none"/>
          <w:u w:val="none"/>
        </w:rPr>
        <w:t>/</w:t>
      </w:r>
      <w:r>
        <w:rPr>
          <w:rFonts w:hint="default" w:ascii="Times New Roman" w:hAnsi="Times New Roman" w:eastAsia="仿宋_GB2312" w:cs="Times New Roman"/>
          <w:color w:val="auto"/>
          <w:sz w:val="32"/>
          <w:szCs w:val="32"/>
          <w:highlight w:val="none"/>
          <w:u w:val="none"/>
          <w:lang w:eastAsia="zh-CN"/>
        </w:rPr>
        <w:t>年</w:t>
      </w:r>
      <w:r>
        <w:rPr>
          <w:rFonts w:hint="default" w:ascii="Times New Roman" w:hAnsi="Times New Roman" w:eastAsia="仿宋_GB2312" w:cs="Times New Roman"/>
          <w:color w:val="auto"/>
          <w:sz w:val="32"/>
          <w:szCs w:val="32"/>
          <w:highlight w:val="none"/>
          <w:u w:val="none"/>
        </w:rPr>
        <w:t>；</w:t>
      </w:r>
    </w:p>
    <w:p w14:paraId="0C223100">
      <w:pPr>
        <w:pageBreakBefore w:val="0"/>
        <w:kinsoku/>
        <w:wordWrap/>
        <w:topLinePunct w:val="0"/>
        <w:bidi w:val="0"/>
        <w:spacing w:beforeAutospacing="0" w:afterAutospacing="0" w:line="560" w:lineRule="exact"/>
        <w:ind w:left="0" w:leftChars="0" w:firstLine="1600" w:firstLineChars="500"/>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highlight w:val="none"/>
          <w:u w:val="none"/>
        </w:rPr>
        <w:t>m</w:t>
      </w:r>
      <w:r>
        <w:rPr>
          <w:rFonts w:hint="default" w:ascii="Times New Roman" w:hAnsi="Times New Roman" w:eastAsia="仿宋_GB2312" w:cs="Times New Roman"/>
          <w:color w:val="auto"/>
          <w:sz w:val="32"/>
          <w:szCs w:val="32"/>
          <w:highlight w:val="none"/>
          <w:u w:val="none"/>
          <w:vertAlign w:val="subscript"/>
          <w:lang w:val="en-US" w:eastAsia="zh-CN"/>
        </w:rPr>
        <w:t>z</w:t>
      </w:r>
      <w:r>
        <w:rPr>
          <w:rFonts w:hint="eastAsia" w:ascii="仿宋_GB2312" w:hAnsi="仿宋_GB2312" w:eastAsia="仿宋_GB2312" w:cs="仿宋_GB2312"/>
          <w:color w:val="auto"/>
          <w:sz w:val="32"/>
          <w:szCs w:val="32"/>
          <w:highlight w:val="none"/>
          <w:u w:val="none"/>
        </w:rPr>
        <w:t>—</w:t>
      </w:r>
      <w:r>
        <w:rPr>
          <w:rFonts w:hint="default" w:ascii="Times New Roman" w:hAnsi="Times New Roman" w:eastAsia="仿宋_GB2312" w:cs="Times New Roman"/>
          <w:color w:val="auto"/>
          <w:spacing w:val="-6"/>
          <w:sz w:val="32"/>
          <w:szCs w:val="32"/>
          <w:highlight w:val="none"/>
          <w:u w:val="none"/>
        </w:rPr>
        <w:t>单位面积工程</w:t>
      </w:r>
      <w:r>
        <w:rPr>
          <w:rFonts w:hint="default" w:ascii="Times New Roman" w:hAnsi="Times New Roman" w:eastAsia="仿宋_GB2312" w:cs="Times New Roman"/>
          <w:color w:val="auto"/>
          <w:spacing w:val="-6"/>
          <w:sz w:val="32"/>
          <w:szCs w:val="32"/>
          <w:highlight w:val="none"/>
          <w:u w:val="none"/>
          <w:lang w:eastAsia="zh-CN"/>
        </w:rPr>
        <w:t>渣土</w:t>
      </w:r>
      <w:r>
        <w:rPr>
          <w:rFonts w:hint="default" w:ascii="Times New Roman" w:hAnsi="Times New Roman" w:eastAsia="仿宋_GB2312" w:cs="Times New Roman"/>
          <w:color w:val="auto"/>
          <w:spacing w:val="-6"/>
          <w:sz w:val="32"/>
          <w:szCs w:val="32"/>
          <w:highlight w:val="none"/>
          <w:u w:val="none"/>
        </w:rPr>
        <w:t>产生量基数，</w:t>
      </w:r>
      <w:r>
        <w:rPr>
          <w:rFonts w:hint="default" w:ascii="Times New Roman" w:hAnsi="Times New Roman" w:eastAsia="仿宋_GB2312" w:cs="Times New Roman"/>
          <w:color w:val="auto"/>
          <w:spacing w:val="-6"/>
          <w:sz w:val="32"/>
          <w:szCs w:val="32"/>
          <w:highlight w:val="none"/>
          <w:u w:val="none"/>
          <w:lang w:eastAsia="zh-CN"/>
        </w:rPr>
        <w:t>吨</w:t>
      </w:r>
      <w:r>
        <w:rPr>
          <w:rFonts w:hint="default" w:ascii="Times New Roman" w:hAnsi="Times New Roman" w:eastAsia="仿宋_GB2312" w:cs="Times New Roman"/>
          <w:color w:val="auto"/>
          <w:spacing w:val="-6"/>
          <w:sz w:val="32"/>
          <w:szCs w:val="32"/>
          <w:highlight w:val="none"/>
          <w:u w:val="none"/>
          <w:lang w:val="en-US" w:eastAsia="zh-CN"/>
        </w:rPr>
        <w:t>/万平方米</w:t>
      </w:r>
      <w:r>
        <w:rPr>
          <w:rFonts w:hint="default" w:ascii="Times New Roman" w:hAnsi="Times New Roman" w:eastAsia="仿宋_GB2312" w:cs="Times New Roman"/>
          <w:color w:val="auto"/>
          <w:spacing w:val="-6"/>
          <w:sz w:val="32"/>
          <w:szCs w:val="32"/>
          <w:highlight w:val="none"/>
          <w:u w:val="none"/>
        </w:rPr>
        <w:t>。</w:t>
      </w:r>
    </w:p>
    <w:p w14:paraId="43A3F60A">
      <w:pPr>
        <w:pageBreakBefore w:val="0"/>
        <w:kinsoku/>
        <w:wordWrap/>
        <w:topLinePunct w:val="0"/>
        <w:bidi w:val="0"/>
        <w:spacing w:beforeAutospacing="0" w:afterAutospacing="0" w:line="560" w:lineRule="exact"/>
        <w:ind w:left="0" w:leftChars="0"/>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color w:val="auto"/>
          <w:sz w:val="32"/>
          <w:szCs w:val="32"/>
          <w:highlight w:val="none"/>
          <w:u w:val="none"/>
          <w:lang w:val="en-US" w:eastAsia="zh-CN"/>
        </w:rPr>
        <w:t>（2）《建筑垃圾处理技术标准》中工程渣土的产量是依据现场地形、设计资料及施工工艺等综合确定，由于</w:t>
      </w:r>
      <w:r>
        <w:rPr>
          <w:rFonts w:hint="default" w:ascii="Times New Roman" w:hAnsi="Times New Roman" w:eastAsia="仿宋_GB2312" w:cs="Times New Roman"/>
          <w:bCs/>
          <w:color w:val="auto"/>
          <w:sz w:val="32"/>
          <w:szCs w:val="32"/>
          <w:highlight w:val="none"/>
          <w:u w:val="none"/>
          <w:lang w:val="en-US" w:eastAsia="zh-CN"/>
        </w:rPr>
        <w:t>融安县</w:t>
      </w:r>
      <w:r>
        <w:rPr>
          <w:rFonts w:hint="default" w:ascii="Times New Roman" w:hAnsi="Times New Roman" w:eastAsia="仿宋_GB2312" w:cs="Times New Roman"/>
          <w:color w:val="auto"/>
          <w:sz w:val="32"/>
          <w:szCs w:val="32"/>
          <w:highlight w:val="none"/>
          <w:u w:val="none"/>
          <w:lang w:val="en-US" w:eastAsia="zh-CN"/>
        </w:rPr>
        <w:t>工程渣土统计数据不完全，不能作为预测的基础收集。结合相关城市工程渣土的产生数据，工程渣土与房屋建筑施工面积成正相关关系，预测每新增1万平方米产生约1.3万吨的工程渣土计算指标。</w:t>
      </w:r>
    </w:p>
    <w:p w14:paraId="78A80D25">
      <w:pPr>
        <w:pageBreakBefore w:val="0"/>
        <w:kinsoku/>
        <w:wordWrap/>
        <w:topLinePunct w:val="0"/>
        <w:bidi w:val="0"/>
        <w:spacing w:beforeAutospacing="0" w:afterAutospacing="0" w:line="560" w:lineRule="exact"/>
        <w:ind w:left="0" w:leftChars="0"/>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根据城镇建设发展趋势，结合城镇化发展实际，</w:t>
      </w:r>
      <w:r>
        <w:rPr>
          <w:rFonts w:hint="default" w:ascii="Times New Roman" w:hAnsi="Times New Roman" w:eastAsia="仿宋_GB2312" w:cs="Times New Roman"/>
          <w:bCs/>
          <w:color w:val="auto"/>
          <w:sz w:val="32"/>
          <w:szCs w:val="32"/>
          <w:highlight w:val="none"/>
          <w:u w:val="none"/>
          <w:lang w:val="en-US" w:eastAsia="zh-CN"/>
        </w:rPr>
        <w:t>融安县</w:t>
      </w:r>
      <w:r>
        <w:rPr>
          <w:rFonts w:hint="default" w:ascii="Times New Roman" w:hAnsi="Times New Roman" w:eastAsia="仿宋_GB2312" w:cs="Times New Roman"/>
          <w:sz w:val="32"/>
          <w:szCs w:val="32"/>
          <w:highlight w:val="none"/>
          <w:lang w:val="en-US" w:eastAsia="zh-CN"/>
        </w:rPr>
        <w:t>每年施工面积在一定区间范围内呈波动的特征，但总体将呈现不断下降趋势，</w:t>
      </w:r>
      <w:r>
        <w:rPr>
          <w:rFonts w:hint="eastAsia" w:eastAsia="仿宋_GB2312" w:cs="Times New Roman"/>
          <w:sz w:val="32"/>
          <w:szCs w:val="32"/>
          <w:highlight w:val="none"/>
          <w:lang w:val="en-US" w:eastAsia="zh-CN"/>
        </w:rPr>
        <w:t>《工作规划》</w:t>
      </w:r>
      <w:r>
        <w:rPr>
          <w:rFonts w:hint="default" w:ascii="Times New Roman" w:hAnsi="Times New Roman" w:eastAsia="仿宋_GB2312" w:cs="Times New Roman"/>
          <w:sz w:val="32"/>
          <w:szCs w:val="32"/>
          <w:highlight w:val="none"/>
          <w:lang w:val="en-US" w:eastAsia="zh-CN"/>
        </w:rPr>
        <w:t>按年下降5%考虑。2019</w:t>
      </w:r>
      <w:r>
        <w:rPr>
          <w:rFonts w:hint="eastAsia" w:ascii="Times New Roman" w:hAnsi="Times New Roman" w:eastAsia="仿宋_GB2312" w:cs="Times New Roman"/>
          <w:sz w:val="32"/>
          <w:szCs w:val="32"/>
          <w:highlight w:val="none"/>
          <w:lang w:val="en-US" w:eastAsia="zh-CN"/>
        </w:rPr>
        <w:t>—</w:t>
      </w:r>
      <w:r>
        <w:rPr>
          <w:rFonts w:hint="default" w:ascii="Times New Roman" w:hAnsi="Times New Roman" w:eastAsia="仿宋_GB2312" w:cs="Times New Roman"/>
          <w:sz w:val="32"/>
          <w:szCs w:val="32"/>
          <w:highlight w:val="none"/>
          <w:lang w:val="en-US" w:eastAsia="zh-CN"/>
        </w:rPr>
        <w:t>2023年的施工面积数据差距较大，因此建议预测起始年以2019</w:t>
      </w:r>
      <w:r>
        <w:rPr>
          <w:rFonts w:hint="eastAsia" w:ascii="Times New Roman" w:hAnsi="Times New Roman" w:eastAsia="仿宋_GB2312" w:cs="Times New Roman"/>
          <w:sz w:val="32"/>
          <w:szCs w:val="32"/>
          <w:highlight w:val="none"/>
          <w:lang w:val="en-US" w:eastAsia="zh-CN"/>
        </w:rPr>
        <w:t>—</w:t>
      </w:r>
      <w:r>
        <w:rPr>
          <w:rFonts w:hint="default" w:ascii="Times New Roman" w:hAnsi="Times New Roman" w:eastAsia="仿宋_GB2312" w:cs="Times New Roman"/>
          <w:sz w:val="32"/>
          <w:szCs w:val="32"/>
          <w:highlight w:val="none"/>
          <w:lang w:val="en-US" w:eastAsia="zh-CN"/>
        </w:rPr>
        <w:t>2023年的平均施工面积数据为基础。预测近期2024</w:t>
      </w:r>
      <w:r>
        <w:rPr>
          <w:rFonts w:hint="eastAsia" w:ascii="Times New Roman" w:hAnsi="Times New Roman" w:eastAsia="仿宋_GB2312" w:cs="Times New Roman"/>
          <w:sz w:val="32"/>
          <w:szCs w:val="32"/>
          <w:highlight w:val="none"/>
          <w:lang w:val="en-US" w:eastAsia="zh-CN"/>
        </w:rPr>
        <w:t>—</w:t>
      </w:r>
      <w:r>
        <w:rPr>
          <w:rFonts w:hint="default" w:ascii="Times New Roman" w:hAnsi="Times New Roman" w:eastAsia="仿宋_GB2312" w:cs="Times New Roman"/>
          <w:sz w:val="32"/>
          <w:szCs w:val="32"/>
          <w:highlight w:val="none"/>
          <w:lang w:val="en-US" w:eastAsia="zh-CN"/>
        </w:rPr>
        <w:t>2030年工程渣土产生量约为291万吨，预测远期2031</w:t>
      </w:r>
      <w:r>
        <w:rPr>
          <w:rFonts w:hint="eastAsia" w:ascii="Times New Roman" w:hAnsi="Times New Roman" w:eastAsia="仿宋_GB2312" w:cs="Times New Roman"/>
          <w:sz w:val="32"/>
          <w:szCs w:val="32"/>
          <w:highlight w:val="none"/>
          <w:lang w:val="en-US" w:eastAsia="zh-CN"/>
        </w:rPr>
        <w:t>—</w:t>
      </w:r>
      <w:r>
        <w:rPr>
          <w:rFonts w:hint="default" w:ascii="Times New Roman" w:hAnsi="Times New Roman" w:eastAsia="仿宋_GB2312" w:cs="Times New Roman"/>
          <w:sz w:val="32"/>
          <w:szCs w:val="32"/>
          <w:highlight w:val="none"/>
          <w:lang w:val="en-US" w:eastAsia="zh-CN"/>
        </w:rPr>
        <w:t>2035年工程渣土产生量约为152万吨。</w:t>
      </w:r>
    </w:p>
    <w:p w14:paraId="275B19DB">
      <w:pPr>
        <w:pageBreakBefore w:val="0"/>
        <w:kinsoku/>
        <w:wordWrap/>
        <w:topLinePunct w:val="0"/>
        <w:bidi w:val="0"/>
        <w:spacing w:beforeAutospacing="0" w:afterAutospacing="0" w:line="560" w:lineRule="exact"/>
        <w:ind w:left="0" w:leftChars="0"/>
        <w:jc w:val="center"/>
        <w:rPr>
          <w:rFonts w:hint="eastAsia" w:ascii="Times New Roman" w:hAnsi="Times New Roman"/>
          <w:highlight w:val="none"/>
          <w:lang w:val="en-US" w:eastAsia="zh-CN"/>
        </w:rPr>
      </w:pPr>
    </w:p>
    <w:p w14:paraId="5FB39BDD">
      <w:pPr>
        <w:pageBreakBefore w:val="0"/>
        <w:kinsoku/>
        <w:wordWrap/>
        <w:topLinePunct w:val="0"/>
        <w:bidi w:val="0"/>
        <w:spacing w:beforeAutospacing="0" w:afterAutospacing="0" w:line="560" w:lineRule="exact"/>
        <w:ind w:left="0" w:leftChars="0" w:firstLine="0" w:firstLineChars="0"/>
        <w:jc w:val="center"/>
        <w:rPr>
          <w:rFonts w:hint="eastAsia" w:ascii="Times New Roman" w:hAnsi="Times New Roman"/>
          <w:sz w:val="32"/>
          <w:szCs w:val="32"/>
          <w:highlight w:val="none"/>
          <w:lang w:val="en-US" w:eastAsia="zh-CN"/>
        </w:rPr>
      </w:pPr>
      <w:r>
        <w:rPr>
          <w:rFonts w:hint="eastAsia" w:ascii="仿宋_GB2312" w:hAnsi="仿宋_GB2312" w:eastAsia="仿宋_GB2312" w:cs="仿宋_GB2312"/>
          <w:sz w:val="32"/>
          <w:szCs w:val="32"/>
          <w:highlight w:val="none"/>
          <w:lang w:val="en-US" w:eastAsia="zh-CN"/>
        </w:rPr>
        <w:t>表：</w:t>
      </w:r>
      <w:r>
        <w:rPr>
          <w:rFonts w:hint="eastAsia" w:ascii="仿宋_GB2312" w:hAnsi="仿宋_GB2312" w:eastAsia="仿宋_GB2312" w:cs="仿宋_GB2312"/>
          <w:bCs/>
          <w:color w:val="auto"/>
          <w:sz w:val="32"/>
          <w:szCs w:val="32"/>
          <w:highlight w:val="none"/>
          <w:u w:val="none"/>
          <w:lang w:val="en-US" w:eastAsia="zh-CN"/>
        </w:rPr>
        <w:t>融安县</w:t>
      </w:r>
      <w:r>
        <w:rPr>
          <w:rFonts w:hint="eastAsia" w:ascii="仿宋_GB2312" w:hAnsi="仿宋_GB2312" w:eastAsia="仿宋_GB2312" w:cs="仿宋_GB2312"/>
          <w:sz w:val="32"/>
          <w:szCs w:val="32"/>
          <w:highlight w:val="none"/>
          <w:lang w:val="en-US" w:eastAsia="zh-CN"/>
        </w:rPr>
        <w:t>城区工程渣土现状统计数据与预测量</w:t>
      </w:r>
    </w:p>
    <w:tbl>
      <w:tblPr>
        <w:tblStyle w:val="16"/>
        <w:tblW w:w="902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2811"/>
        <w:gridCol w:w="1781"/>
        <w:gridCol w:w="3161"/>
        <w:gridCol w:w="1267"/>
      </w:tblGrid>
      <w:tr w14:paraId="61DA219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90" w:hRule="atLeast"/>
          <w:jc w:val="center"/>
        </w:trPr>
        <w:tc>
          <w:tcPr>
            <w:tcW w:w="2811" w:type="dxa"/>
            <w:tcBorders>
              <w:top w:val="single" w:color="000000" w:sz="8" w:space="0"/>
              <w:left w:val="single" w:color="000000" w:sz="8" w:space="0"/>
              <w:bottom w:val="single" w:color="000000" w:sz="8" w:space="0"/>
              <w:right w:val="single" w:color="auto" w:sz="4" w:space="0"/>
            </w:tcBorders>
            <w:shd w:val="clear" w:color="auto" w:fill="auto"/>
            <w:tcMar>
              <w:top w:w="15" w:type="dxa"/>
              <w:left w:w="15" w:type="dxa"/>
              <w:right w:w="15" w:type="dxa"/>
            </w:tcMar>
            <w:vAlign w:val="center"/>
          </w:tcPr>
          <w:p w14:paraId="765E5EE7">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黑体" w:hAnsi="黑体" w:eastAsia="黑体" w:cs="黑体"/>
                <w:b w:val="0"/>
                <w:bCs w:val="0"/>
                <w:sz w:val="24"/>
                <w:szCs w:val="24"/>
                <w:highlight w:val="none"/>
                <w:vertAlign w:val="baseline"/>
                <w:lang w:val="en-US" w:eastAsia="zh-CN"/>
              </w:rPr>
            </w:pPr>
            <w:r>
              <w:rPr>
                <w:rFonts w:hint="eastAsia" w:ascii="黑体" w:hAnsi="黑体" w:eastAsia="黑体" w:cs="黑体"/>
                <w:b w:val="0"/>
                <w:bCs w:val="0"/>
                <w:sz w:val="24"/>
                <w:szCs w:val="24"/>
                <w:highlight w:val="none"/>
                <w:vertAlign w:val="baseline"/>
                <w:lang w:val="en-US" w:eastAsia="zh-CN"/>
              </w:rPr>
              <w:t>年份</w:t>
            </w:r>
          </w:p>
        </w:tc>
        <w:tc>
          <w:tcPr>
            <w:tcW w:w="1781" w:type="dxa"/>
            <w:tcBorders>
              <w:top w:val="single" w:color="auto" w:sz="4" w:space="0"/>
              <w:left w:val="single" w:color="auto" w:sz="4" w:space="0"/>
              <w:bottom w:val="single" w:color="auto" w:sz="4" w:space="0"/>
              <w:right w:val="single" w:color="000000" w:sz="8" w:space="0"/>
            </w:tcBorders>
            <w:shd w:val="clear" w:color="auto" w:fill="auto"/>
            <w:tcMar>
              <w:top w:w="15" w:type="dxa"/>
              <w:left w:w="15" w:type="dxa"/>
              <w:right w:w="15" w:type="dxa"/>
            </w:tcMar>
            <w:vAlign w:val="center"/>
          </w:tcPr>
          <w:p w14:paraId="408C8B9F">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黑体" w:hAnsi="黑体" w:eastAsia="黑体" w:cs="黑体"/>
                <w:b w:val="0"/>
                <w:bCs w:val="0"/>
                <w:sz w:val="24"/>
                <w:szCs w:val="24"/>
                <w:highlight w:val="none"/>
                <w:vertAlign w:val="baseline"/>
                <w:lang w:val="en-US" w:eastAsia="zh-CN"/>
              </w:rPr>
            </w:pPr>
            <w:r>
              <w:rPr>
                <w:rFonts w:hint="eastAsia" w:ascii="黑体" w:hAnsi="黑体" w:eastAsia="黑体" w:cs="黑体"/>
                <w:b w:val="0"/>
                <w:bCs w:val="0"/>
                <w:sz w:val="24"/>
                <w:szCs w:val="24"/>
                <w:highlight w:val="none"/>
                <w:vertAlign w:val="baseline"/>
                <w:lang w:val="en-US" w:eastAsia="zh-CN"/>
              </w:rPr>
              <w:t>建筑施工面积</w:t>
            </w:r>
          </w:p>
          <w:p w14:paraId="69AD9EB4">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黑体" w:hAnsi="黑体" w:eastAsia="黑体" w:cs="黑体"/>
                <w:b w:val="0"/>
                <w:bCs w:val="0"/>
                <w:sz w:val="24"/>
                <w:szCs w:val="24"/>
                <w:highlight w:val="none"/>
                <w:vertAlign w:val="baseline"/>
                <w:lang w:val="en-US" w:eastAsia="zh-CN"/>
              </w:rPr>
            </w:pPr>
            <w:r>
              <w:rPr>
                <w:rFonts w:hint="eastAsia" w:ascii="黑体" w:hAnsi="黑体" w:eastAsia="黑体" w:cs="黑体"/>
                <w:b w:val="0"/>
                <w:bCs w:val="0"/>
                <w:sz w:val="24"/>
                <w:szCs w:val="24"/>
                <w:highlight w:val="none"/>
                <w:vertAlign w:val="baseline"/>
                <w:lang w:val="en-US" w:eastAsia="zh-CN"/>
              </w:rPr>
              <w:t>（万平方米/年）</w:t>
            </w:r>
          </w:p>
        </w:tc>
        <w:tc>
          <w:tcPr>
            <w:tcW w:w="3161" w:type="dxa"/>
            <w:tcBorders>
              <w:top w:val="single" w:color="auto" w:sz="4" w:space="0"/>
              <w:left w:val="single" w:color="000000" w:sz="8" w:space="0"/>
              <w:bottom w:val="single" w:color="auto" w:sz="4" w:space="0"/>
              <w:right w:val="single" w:color="auto" w:sz="4" w:space="0"/>
            </w:tcBorders>
            <w:shd w:val="clear" w:color="auto" w:fill="auto"/>
            <w:tcMar>
              <w:top w:w="15" w:type="dxa"/>
              <w:left w:w="15" w:type="dxa"/>
              <w:right w:w="15" w:type="dxa"/>
            </w:tcMar>
            <w:vAlign w:val="center"/>
          </w:tcPr>
          <w:p w14:paraId="7EC01EFB">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黑体" w:hAnsi="黑体" w:eastAsia="黑体" w:cs="黑体"/>
                <w:b w:val="0"/>
                <w:bCs w:val="0"/>
                <w:sz w:val="24"/>
                <w:szCs w:val="24"/>
                <w:highlight w:val="none"/>
                <w:vertAlign w:val="baseline"/>
                <w:lang w:val="en-US" w:eastAsia="zh-CN"/>
              </w:rPr>
            </w:pPr>
            <w:r>
              <w:rPr>
                <w:rFonts w:hint="eastAsia" w:ascii="黑体" w:hAnsi="黑体" w:eastAsia="黑体" w:cs="黑体"/>
                <w:b w:val="0"/>
                <w:bCs w:val="0"/>
                <w:sz w:val="24"/>
                <w:szCs w:val="24"/>
                <w:highlight w:val="none"/>
                <w:vertAlign w:val="baseline"/>
                <w:lang w:val="en-US" w:eastAsia="zh-CN"/>
              </w:rPr>
              <w:t>工程渣土产量</w:t>
            </w:r>
          </w:p>
          <w:p w14:paraId="1936B31B">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黑体" w:hAnsi="黑体" w:eastAsia="黑体" w:cs="黑体"/>
                <w:b w:val="0"/>
                <w:bCs w:val="0"/>
                <w:sz w:val="24"/>
                <w:szCs w:val="24"/>
                <w:highlight w:val="none"/>
                <w:vertAlign w:val="baseline"/>
                <w:lang w:val="en-US" w:eastAsia="zh-CN"/>
              </w:rPr>
            </w:pPr>
            <w:r>
              <w:rPr>
                <w:rFonts w:hint="eastAsia" w:ascii="黑体" w:hAnsi="黑体" w:eastAsia="黑体" w:cs="黑体"/>
                <w:b w:val="0"/>
                <w:bCs w:val="0"/>
                <w:sz w:val="24"/>
                <w:szCs w:val="24"/>
                <w:highlight w:val="none"/>
                <w:vertAlign w:val="baseline"/>
                <w:lang w:val="en-US" w:eastAsia="zh-CN"/>
              </w:rPr>
              <w:t>（万吨/年）</w:t>
            </w:r>
          </w:p>
        </w:tc>
        <w:tc>
          <w:tcPr>
            <w:tcW w:w="1267" w:type="dxa"/>
            <w:tcBorders>
              <w:top w:val="single" w:color="000000" w:sz="8" w:space="0"/>
              <w:left w:val="single" w:color="auto" w:sz="4" w:space="0"/>
              <w:bottom w:val="single" w:color="000000" w:sz="8" w:space="0"/>
              <w:right w:val="single" w:color="000000" w:sz="8" w:space="0"/>
            </w:tcBorders>
            <w:shd w:val="clear" w:color="auto" w:fill="auto"/>
            <w:tcMar>
              <w:top w:w="15" w:type="dxa"/>
              <w:left w:w="15" w:type="dxa"/>
              <w:right w:w="15" w:type="dxa"/>
            </w:tcMar>
            <w:vAlign w:val="center"/>
          </w:tcPr>
          <w:p w14:paraId="200D9CB4">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黑体" w:hAnsi="黑体" w:eastAsia="黑体" w:cs="黑体"/>
                <w:b w:val="0"/>
                <w:bCs w:val="0"/>
                <w:sz w:val="24"/>
                <w:szCs w:val="24"/>
                <w:highlight w:val="none"/>
                <w:vertAlign w:val="baseline"/>
                <w:lang w:val="en-US" w:eastAsia="zh-CN"/>
              </w:rPr>
            </w:pPr>
            <w:r>
              <w:rPr>
                <w:rFonts w:hint="eastAsia" w:ascii="黑体" w:hAnsi="黑体" w:eastAsia="黑体" w:cs="黑体"/>
                <w:b w:val="0"/>
                <w:bCs w:val="0"/>
                <w:sz w:val="24"/>
                <w:szCs w:val="24"/>
                <w:highlight w:val="none"/>
                <w:vertAlign w:val="baseline"/>
                <w:lang w:val="en-US" w:eastAsia="zh-CN"/>
              </w:rPr>
              <w:t>备注</w:t>
            </w:r>
          </w:p>
        </w:tc>
      </w:tr>
      <w:tr w14:paraId="7314FD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18" w:hRule="atLeast"/>
          <w:jc w:val="center"/>
        </w:trPr>
        <w:tc>
          <w:tcPr>
            <w:tcW w:w="2811"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2659A05A">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sz w:val="24"/>
                <w:szCs w:val="24"/>
                <w:highlight w:val="none"/>
                <w:vertAlign w:val="baseline"/>
                <w:lang w:val="en-US" w:eastAsia="zh-CN"/>
              </w:rPr>
            </w:pPr>
            <w:r>
              <w:rPr>
                <w:rFonts w:hint="default" w:ascii="Times New Roman" w:hAnsi="Times New Roman" w:eastAsia="华文仿宋" w:cs="Times New Roman"/>
                <w:sz w:val="24"/>
                <w:szCs w:val="24"/>
                <w:highlight w:val="none"/>
                <w:vertAlign w:val="baseline"/>
                <w:lang w:val="en-US" w:eastAsia="zh-CN"/>
              </w:rPr>
              <w:t>2019</w:t>
            </w:r>
          </w:p>
        </w:tc>
        <w:tc>
          <w:tcPr>
            <w:tcW w:w="1781" w:type="dxa"/>
            <w:tcBorders>
              <w:top w:val="single" w:color="auto" w:sz="4" w:space="0"/>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12305C84">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sz w:val="24"/>
                <w:szCs w:val="24"/>
                <w:highlight w:val="none"/>
                <w:vertAlign w:val="baseline"/>
                <w:lang w:val="en-US" w:eastAsia="zh-CN"/>
              </w:rPr>
            </w:pPr>
            <w:r>
              <w:rPr>
                <w:rFonts w:hint="default" w:ascii="Times New Roman" w:hAnsi="Times New Roman" w:eastAsia="华文仿宋" w:cs="Times New Roman"/>
                <w:sz w:val="24"/>
                <w:szCs w:val="24"/>
                <w:highlight w:val="none"/>
                <w:vertAlign w:val="baseline"/>
                <w:lang w:val="en-US" w:eastAsia="zh-CN"/>
              </w:rPr>
              <w:t>61</w:t>
            </w:r>
          </w:p>
        </w:tc>
        <w:tc>
          <w:tcPr>
            <w:tcW w:w="3161" w:type="dxa"/>
            <w:tcBorders>
              <w:top w:val="single" w:color="auto" w:sz="4" w:space="0"/>
              <w:left w:val="single" w:color="000000" w:sz="8" w:space="0"/>
              <w:bottom w:val="single" w:color="000000" w:sz="8" w:space="0"/>
              <w:right w:val="single" w:color="auto" w:sz="4" w:space="0"/>
            </w:tcBorders>
            <w:shd w:val="clear" w:color="auto" w:fill="auto"/>
            <w:tcMar>
              <w:top w:w="15" w:type="dxa"/>
              <w:left w:w="15" w:type="dxa"/>
              <w:right w:w="15" w:type="dxa"/>
            </w:tcMar>
            <w:vAlign w:val="top"/>
          </w:tcPr>
          <w:p w14:paraId="38D61F10">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sz w:val="24"/>
                <w:szCs w:val="24"/>
                <w:highlight w:val="yellow"/>
                <w:vertAlign w:val="baseline"/>
                <w:lang w:val="en-US" w:eastAsia="zh-CN"/>
              </w:rPr>
            </w:pPr>
          </w:p>
        </w:tc>
        <w:tc>
          <w:tcPr>
            <w:tcW w:w="1267"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top"/>
          </w:tcPr>
          <w:p w14:paraId="1FFE9D87">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华文仿宋" w:hAnsi="华文仿宋" w:eastAsia="华文仿宋" w:cs="华文仿宋"/>
                <w:sz w:val="24"/>
                <w:szCs w:val="24"/>
                <w:highlight w:val="none"/>
                <w:vertAlign w:val="baseline"/>
                <w:lang w:val="en-US" w:eastAsia="zh-CN"/>
              </w:rPr>
            </w:pPr>
          </w:p>
        </w:tc>
      </w:tr>
      <w:tr w14:paraId="6C5616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30" w:hRule="atLeast"/>
          <w:jc w:val="center"/>
        </w:trPr>
        <w:tc>
          <w:tcPr>
            <w:tcW w:w="2811"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7B218AF6">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sz w:val="24"/>
                <w:szCs w:val="24"/>
                <w:highlight w:val="none"/>
                <w:vertAlign w:val="baseline"/>
                <w:lang w:val="en-US" w:eastAsia="zh-CN"/>
              </w:rPr>
            </w:pPr>
            <w:r>
              <w:rPr>
                <w:rFonts w:hint="default" w:ascii="Times New Roman" w:hAnsi="Times New Roman" w:eastAsia="华文仿宋" w:cs="Times New Roman"/>
                <w:sz w:val="24"/>
                <w:szCs w:val="24"/>
                <w:highlight w:val="none"/>
                <w:vertAlign w:val="baseline"/>
                <w:lang w:val="en-US" w:eastAsia="zh-CN"/>
              </w:rPr>
              <w:t>2020</w:t>
            </w:r>
          </w:p>
        </w:tc>
        <w:tc>
          <w:tcPr>
            <w:tcW w:w="1781"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274B5524">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sz w:val="24"/>
                <w:szCs w:val="24"/>
                <w:highlight w:val="none"/>
                <w:vertAlign w:val="baseline"/>
                <w:lang w:val="en-US" w:eastAsia="zh-CN"/>
              </w:rPr>
            </w:pPr>
            <w:r>
              <w:rPr>
                <w:rFonts w:hint="default" w:ascii="Times New Roman" w:hAnsi="Times New Roman" w:eastAsia="华文仿宋" w:cs="Times New Roman"/>
                <w:sz w:val="24"/>
                <w:szCs w:val="24"/>
                <w:highlight w:val="none"/>
                <w:vertAlign w:val="baseline"/>
                <w:lang w:val="en-US" w:eastAsia="zh-CN"/>
              </w:rPr>
              <w:t>81</w:t>
            </w:r>
          </w:p>
        </w:tc>
        <w:tc>
          <w:tcPr>
            <w:tcW w:w="3161" w:type="dxa"/>
            <w:tcBorders>
              <w:top w:val="nil"/>
              <w:left w:val="single" w:color="000000" w:sz="8" w:space="0"/>
              <w:bottom w:val="single" w:color="000000" w:sz="8" w:space="0"/>
              <w:right w:val="single" w:color="auto" w:sz="4" w:space="0"/>
            </w:tcBorders>
            <w:shd w:val="clear" w:color="auto" w:fill="auto"/>
            <w:tcMar>
              <w:top w:w="15" w:type="dxa"/>
              <w:left w:w="15" w:type="dxa"/>
              <w:right w:w="15" w:type="dxa"/>
            </w:tcMar>
            <w:vAlign w:val="top"/>
          </w:tcPr>
          <w:p w14:paraId="478A0C65">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sz w:val="24"/>
                <w:szCs w:val="24"/>
                <w:highlight w:val="yellow"/>
                <w:vertAlign w:val="baseline"/>
                <w:lang w:val="en-US" w:eastAsia="zh-CN"/>
              </w:rPr>
            </w:pPr>
          </w:p>
        </w:tc>
        <w:tc>
          <w:tcPr>
            <w:tcW w:w="1267"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top"/>
          </w:tcPr>
          <w:p w14:paraId="5BD4E7AF">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华文仿宋" w:hAnsi="华文仿宋" w:eastAsia="华文仿宋" w:cs="华文仿宋"/>
                <w:sz w:val="24"/>
                <w:szCs w:val="24"/>
                <w:highlight w:val="none"/>
                <w:vertAlign w:val="baseline"/>
                <w:lang w:val="en-US" w:eastAsia="zh-CN"/>
              </w:rPr>
            </w:pPr>
          </w:p>
        </w:tc>
      </w:tr>
      <w:tr w14:paraId="6EFD8A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30" w:hRule="atLeast"/>
          <w:jc w:val="center"/>
        </w:trPr>
        <w:tc>
          <w:tcPr>
            <w:tcW w:w="2811"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44BB2148">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sz w:val="24"/>
                <w:szCs w:val="24"/>
                <w:highlight w:val="none"/>
                <w:vertAlign w:val="baseline"/>
                <w:lang w:val="en-US" w:eastAsia="zh-CN"/>
              </w:rPr>
            </w:pPr>
            <w:r>
              <w:rPr>
                <w:rFonts w:hint="default" w:ascii="Times New Roman" w:hAnsi="Times New Roman" w:eastAsia="华文仿宋" w:cs="Times New Roman"/>
                <w:sz w:val="24"/>
                <w:szCs w:val="24"/>
                <w:highlight w:val="none"/>
                <w:vertAlign w:val="baseline"/>
                <w:lang w:val="en-US" w:eastAsia="zh-CN"/>
              </w:rPr>
              <w:t>2021</w:t>
            </w:r>
          </w:p>
        </w:tc>
        <w:tc>
          <w:tcPr>
            <w:tcW w:w="1781"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43D7DF47">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sz w:val="24"/>
                <w:szCs w:val="24"/>
                <w:highlight w:val="none"/>
                <w:vertAlign w:val="baseline"/>
                <w:lang w:val="en-US" w:eastAsia="zh-CN"/>
              </w:rPr>
            </w:pPr>
            <w:r>
              <w:rPr>
                <w:rFonts w:hint="default" w:ascii="Times New Roman" w:hAnsi="Times New Roman" w:eastAsia="华文仿宋" w:cs="Times New Roman"/>
                <w:sz w:val="24"/>
                <w:szCs w:val="24"/>
                <w:highlight w:val="none"/>
                <w:vertAlign w:val="baseline"/>
                <w:lang w:val="en-US" w:eastAsia="zh-CN"/>
              </w:rPr>
              <w:t>29</w:t>
            </w:r>
          </w:p>
        </w:tc>
        <w:tc>
          <w:tcPr>
            <w:tcW w:w="3161" w:type="dxa"/>
            <w:tcBorders>
              <w:top w:val="nil"/>
              <w:left w:val="single" w:color="000000" w:sz="8" w:space="0"/>
              <w:bottom w:val="single" w:color="000000" w:sz="8" w:space="0"/>
              <w:right w:val="single" w:color="auto" w:sz="4" w:space="0"/>
            </w:tcBorders>
            <w:shd w:val="clear" w:color="auto" w:fill="auto"/>
            <w:tcMar>
              <w:top w:w="15" w:type="dxa"/>
              <w:left w:w="15" w:type="dxa"/>
              <w:right w:w="15" w:type="dxa"/>
            </w:tcMar>
            <w:vAlign w:val="top"/>
          </w:tcPr>
          <w:p w14:paraId="59C15215">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sz w:val="24"/>
                <w:szCs w:val="24"/>
                <w:highlight w:val="yellow"/>
                <w:vertAlign w:val="baseline"/>
                <w:lang w:val="en-US" w:eastAsia="zh-CN"/>
              </w:rPr>
            </w:pPr>
          </w:p>
        </w:tc>
        <w:tc>
          <w:tcPr>
            <w:tcW w:w="1267"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top"/>
          </w:tcPr>
          <w:p w14:paraId="1B663736">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华文仿宋" w:hAnsi="华文仿宋" w:eastAsia="华文仿宋" w:cs="华文仿宋"/>
                <w:sz w:val="24"/>
                <w:szCs w:val="24"/>
                <w:highlight w:val="none"/>
                <w:vertAlign w:val="baseline"/>
                <w:lang w:val="en-US" w:eastAsia="zh-CN"/>
              </w:rPr>
            </w:pPr>
          </w:p>
        </w:tc>
      </w:tr>
      <w:tr w14:paraId="5D5185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30" w:hRule="atLeast"/>
          <w:jc w:val="center"/>
        </w:trPr>
        <w:tc>
          <w:tcPr>
            <w:tcW w:w="2811"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6381ED79">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sz w:val="24"/>
                <w:szCs w:val="24"/>
                <w:highlight w:val="none"/>
                <w:vertAlign w:val="baseline"/>
                <w:lang w:val="en-US" w:eastAsia="zh-CN"/>
              </w:rPr>
            </w:pPr>
            <w:r>
              <w:rPr>
                <w:rFonts w:hint="default" w:ascii="Times New Roman" w:hAnsi="Times New Roman" w:eastAsia="华文仿宋" w:cs="Times New Roman"/>
                <w:sz w:val="24"/>
                <w:szCs w:val="24"/>
                <w:highlight w:val="none"/>
                <w:vertAlign w:val="baseline"/>
                <w:lang w:val="en-US" w:eastAsia="zh-CN"/>
              </w:rPr>
              <w:t>2022</w:t>
            </w:r>
          </w:p>
        </w:tc>
        <w:tc>
          <w:tcPr>
            <w:tcW w:w="1781"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021373AB">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sz w:val="24"/>
                <w:szCs w:val="24"/>
                <w:highlight w:val="none"/>
                <w:vertAlign w:val="baseline"/>
                <w:lang w:val="en-US" w:eastAsia="zh-CN"/>
              </w:rPr>
            </w:pPr>
            <w:r>
              <w:rPr>
                <w:rFonts w:hint="default" w:ascii="Times New Roman" w:hAnsi="Times New Roman" w:eastAsia="华文仿宋" w:cs="Times New Roman"/>
                <w:sz w:val="24"/>
                <w:szCs w:val="24"/>
                <w:highlight w:val="none"/>
                <w:vertAlign w:val="baseline"/>
                <w:lang w:val="en-US" w:eastAsia="zh-CN"/>
              </w:rPr>
              <w:t>13</w:t>
            </w:r>
          </w:p>
        </w:tc>
        <w:tc>
          <w:tcPr>
            <w:tcW w:w="3161" w:type="dxa"/>
            <w:tcBorders>
              <w:top w:val="nil"/>
              <w:left w:val="single" w:color="000000" w:sz="8" w:space="0"/>
              <w:bottom w:val="single" w:color="000000" w:sz="8" w:space="0"/>
              <w:right w:val="single" w:color="auto" w:sz="4" w:space="0"/>
            </w:tcBorders>
            <w:shd w:val="clear" w:color="auto" w:fill="auto"/>
            <w:tcMar>
              <w:top w:w="15" w:type="dxa"/>
              <w:left w:w="15" w:type="dxa"/>
              <w:right w:w="15" w:type="dxa"/>
            </w:tcMar>
            <w:vAlign w:val="top"/>
          </w:tcPr>
          <w:p w14:paraId="02CA4221">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sz w:val="24"/>
                <w:szCs w:val="24"/>
                <w:highlight w:val="yellow"/>
                <w:vertAlign w:val="baseline"/>
                <w:lang w:val="en-US" w:eastAsia="zh-CN"/>
              </w:rPr>
            </w:pPr>
          </w:p>
        </w:tc>
        <w:tc>
          <w:tcPr>
            <w:tcW w:w="1267"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top"/>
          </w:tcPr>
          <w:p w14:paraId="4F200F90">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华文仿宋" w:hAnsi="华文仿宋" w:eastAsia="华文仿宋" w:cs="华文仿宋"/>
                <w:sz w:val="24"/>
                <w:szCs w:val="24"/>
                <w:highlight w:val="none"/>
                <w:vertAlign w:val="baseline"/>
                <w:lang w:val="en-US" w:eastAsia="zh-CN"/>
              </w:rPr>
            </w:pPr>
          </w:p>
        </w:tc>
      </w:tr>
      <w:tr w14:paraId="782A0F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30" w:hRule="atLeast"/>
          <w:jc w:val="center"/>
        </w:trPr>
        <w:tc>
          <w:tcPr>
            <w:tcW w:w="2811"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7AFC310C">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sz w:val="24"/>
                <w:szCs w:val="24"/>
                <w:highlight w:val="none"/>
                <w:vertAlign w:val="baseline"/>
                <w:lang w:val="en-US" w:eastAsia="zh-CN"/>
              </w:rPr>
            </w:pPr>
            <w:r>
              <w:rPr>
                <w:rFonts w:hint="default" w:ascii="Times New Roman" w:hAnsi="Times New Roman" w:eastAsia="华文仿宋" w:cs="Times New Roman"/>
                <w:sz w:val="24"/>
                <w:szCs w:val="24"/>
                <w:highlight w:val="none"/>
                <w:vertAlign w:val="baseline"/>
                <w:lang w:val="en-US" w:eastAsia="zh-CN"/>
              </w:rPr>
              <w:t>2023</w:t>
            </w:r>
          </w:p>
        </w:tc>
        <w:tc>
          <w:tcPr>
            <w:tcW w:w="1781"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73C21D56">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sz w:val="24"/>
                <w:szCs w:val="24"/>
                <w:highlight w:val="none"/>
                <w:vertAlign w:val="baseline"/>
                <w:lang w:val="en-US" w:eastAsia="zh-CN"/>
              </w:rPr>
            </w:pPr>
            <w:r>
              <w:rPr>
                <w:rFonts w:hint="default" w:ascii="Times New Roman" w:hAnsi="Times New Roman" w:eastAsia="华文仿宋" w:cs="Times New Roman"/>
                <w:sz w:val="24"/>
                <w:szCs w:val="24"/>
                <w:highlight w:val="none"/>
                <w:vertAlign w:val="baseline"/>
                <w:lang w:val="en-US" w:eastAsia="zh-CN"/>
              </w:rPr>
              <w:t>11</w:t>
            </w:r>
          </w:p>
        </w:tc>
        <w:tc>
          <w:tcPr>
            <w:tcW w:w="3161" w:type="dxa"/>
            <w:tcBorders>
              <w:top w:val="nil"/>
              <w:left w:val="single" w:color="000000" w:sz="8" w:space="0"/>
              <w:bottom w:val="single" w:color="000000" w:sz="8" w:space="0"/>
              <w:right w:val="single" w:color="auto" w:sz="4" w:space="0"/>
            </w:tcBorders>
            <w:shd w:val="clear" w:color="auto" w:fill="auto"/>
            <w:tcMar>
              <w:top w:w="15" w:type="dxa"/>
              <w:left w:w="15" w:type="dxa"/>
              <w:right w:w="15" w:type="dxa"/>
            </w:tcMar>
            <w:vAlign w:val="top"/>
          </w:tcPr>
          <w:p w14:paraId="6C345F37">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b/>
                <w:bCs/>
                <w:sz w:val="24"/>
                <w:szCs w:val="24"/>
                <w:highlight w:val="yellow"/>
                <w:vertAlign w:val="baseline"/>
                <w:lang w:val="en-US" w:eastAsia="zh-CN"/>
              </w:rPr>
            </w:pPr>
          </w:p>
        </w:tc>
        <w:tc>
          <w:tcPr>
            <w:tcW w:w="1267"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top"/>
          </w:tcPr>
          <w:p w14:paraId="61A1B0FF">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华文仿宋" w:hAnsi="华文仿宋" w:eastAsia="华文仿宋" w:cs="华文仿宋"/>
                <w:sz w:val="24"/>
                <w:szCs w:val="24"/>
                <w:highlight w:val="none"/>
                <w:vertAlign w:val="baseline"/>
                <w:lang w:val="en-US" w:eastAsia="zh-CN"/>
              </w:rPr>
            </w:pPr>
          </w:p>
        </w:tc>
      </w:tr>
      <w:tr w14:paraId="18172A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58" w:hRule="atLeast"/>
          <w:jc w:val="center"/>
        </w:trPr>
        <w:tc>
          <w:tcPr>
            <w:tcW w:w="2811"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043B02BF">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sz w:val="24"/>
                <w:szCs w:val="24"/>
                <w:highlight w:val="none"/>
                <w:vertAlign w:val="baseline"/>
                <w:lang w:val="en-US" w:eastAsia="zh-CN"/>
              </w:rPr>
            </w:pPr>
            <w:r>
              <w:rPr>
                <w:rFonts w:hint="default" w:ascii="Times New Roman" w:hAnsi="Times New Roman" w:eastAsia="华文仿宋" w:cs="Times New Roman"/>
                <w:sz w:val="24"/>
                <w:szCs w:val="24"/>
                <w:highlight w:val="none"/>
                <w:vertAlign w:val="baseline"/>
                <w:lang w:val="en-US" w:eastAsia="zh-CN"/>
              </w:rPr>
              <w:t>2024</w:t>
            </w:r>
          </w:p>
        </w:tc>
        <w:tc>
          <w:tcPr>
            <w:tcW w:w="1781"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26546628">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sz w:val="24"/>
                <w:szCs w:val="24"/>
                <w:highlight w:val="none"/>
                <w:vertAlign w:val="baseline"/>
                <w:lang w:val="en-US" w:eastAsia="zh-CN"/>
              </w:rPr>
            </w:pPr>
            <w:r>
              <w:rPr>
                <w:rFonts w:hint="default" w:ascii="Times New Roman" w:hAnsi="Times New Roman" w:eastAsia="华文仿宋" w:cs="Times New Roman"/>
                <w:sz w:val="24"/>
                <w:szCs w:val="24"/>
                <w:highlight w:val="none"/>
                <w:vertAlign w:val="baseline"/>
                <w:lang w:val="en-US" w:eastAsia="zh-CN"/>
              </w:rPr>
              <w:t>37</w:t>
            </w:r>
          </w:p>
        </w:tc>
        <w:tc>
          <w:tcPr>
            <w:tcW w:w="3161" w:type="dxa"/>
            <w:tcBorders>
              <w:top w:val="nil"/>
              <w:left w:val="single" w:color="000000" w:sz="8" w:space="0"/>
              <w:bottom w:val="single" w:color="000000" w:sz="8" w:space="0"/>
              <w:right w:val="single" w:color="auto" w:sz="4" w:space="0"/>
            </w:tcBorders>
            <w:shd w:val="clear" w:color="auto" w:fill="auto"/>
            <w:tcMar>
              <w:top w:w="15" w:type="dxa"/>
              <w:left w:w="15" w:type="dxa"/>
              <w:right w:w="15" w:type="dxa"/>
            </w:tcMar>
            <w:vAlign w:val="top"/>
          </w:tcPr>
          <w:p w14:paraId="5B66EA6B">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sz w:val="24"/>
                <w:szCs w:val="24"/>
                <w:highlight w:val="none"/>
                <w:vertAlign w:val="baseline"/>
                <w:lang w:val="en-US" w:eastAsia="zh-CN"/>
              </w:rPr>
            </w:pPr>
            <w:r>
              <w:rPr>
                <w:rFonts w:hint="default" w:ascii="Times New Roman" w:hAnsi="Times New Roman" w:eastAsia="华文仿宋" w:cs="Times New Roman"/>
                <w:sz w:val="24"/>
                <w:szCs w:val="24"/>
                <w:highlight w:val="none"/>
                <w:vertAlign w:val="baseline"/>
                <w:lang w:val="en-US" w:eastAsia="zh-CN"/>
              </w:rPr>
              <w:t>48</w:t>
            </w:r>
          </w:p>
        </w:tc>
        <w:tc>
          <w:tcPr>
            <w:tcW w:w="1267"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top"/>
          </w:tcPr>
          <w:p w14:paraId="207F2D2E">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华文仿宋" w:hAnsi="华文仿宋" w:eastAsia="华文仿宋" w:cs="华文仿宋"/>
                <w:sz w:val="24"/>
                <w:szCs w:val="24"/>
                <w:highlight w:val="none"/>
                <w:vertAlign w:val="baseline"/>
                <w:lang w:val="en-US" w:eastAsia="zh-CN"/>
              </w:rPr>
            </w:pPr>
          </w:p>
        </w:tc>
      </w:tr>
      <w:tr w14:paraId="6F3CB4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5" w:hRule="atLeast"/>
          <w:jc w:val="center"/>
        </w:trPr>
        <w:tc>
          <w:tcPr>
            <w:tcW w:w="2811"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20716A73">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sz w:val="24"/>
                <w:szCs w:val="24"/>
                <w:highlight w:val="none"/>
                <w:vertAlign w:val="baseline"/>
                <w:lang w:val="en-US" w:eastAsia="zh-CN"/>
              </w:rPr>
            </w:pPr>
            <w:r>
              <w:rPr>
                <w:rFonts w:hint="default" w:ascii="Times New Roman" w:hAnsi="Times New Roman" w:eastAsia="华文仿宋" w:cs="Times New Roman"/>
                <w:sz w:val="24"/>
                <w:szCs w:val="24"/>
                <w:highlight w:val="none"/>
                <w:vertAlign w:val="baseline"/>
                <w:lang w:val="en-US" w:eastAsia="zh-CN"/>
              </w:rPr>
              <w:t>2025</w:t>
            </w:r>
          </w:p>
        </w:tc>
        <w:tc>
          <w:tcPr>
            <w:tcW w:w="1781"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2C86F368">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sz w:val="24"/>
                <w:szCs w:val="24"/>
                <w:highlight w:val="none"/>
                <w:vertAlign w:val="baseline"/>
                <w:lang w:val="en-US" w:eastAsia="zh-CN"/>
              </w:rPr>
            </w:pPr>
            <w:r>
              <w:rPr>
                <w:rFonts w:hint="default" w:ascii="Times New Roman" w:hAnsi="Times New Roman" w:eastAsia="华文仿宋" w:cs="Times New Roman"/>
                <w:sz w:val="24"/>
                <w:szCs w:val="24"/>
                <w:highlight w:val="none"/>
                <w:vertAlign w:val="baseline"/>
                <w:lang w:val="en-US" w:eastAsia="zh-CN"/>
              </w:rPr>
              <w:t>35</w:t>
            </w:r>
          </w:p>
        </w:tc>
        <w:tc>
          <w:tcPr>
            <w:tcW w:w="3161"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1E3EF2E7">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sz w:val="24"/>
                <w:szCs w:val="24"/>
                <w:highlight w:val="none"/>
                <w:vertAlign w:val="baseline"/>
                <w:lang w:val="en-US" w:eastAsia="zh-CN"/>
              </w:rPr>
            </w:pPr>
            <w:r>
              <w:rPr>
                <w:rFonts w:hint="default" w:ascii="Times New Roman" w:hAnsi="Times New Roman" w:eastAsia="华文仿宋" w:cs="Times New Roman"/>
                <w:sz w:val="24"/>
                <w:szCs w:val="24"/>
                <w:highlight w:val="none"/>
                <w:vertAlign w:val="baseline"/>
                <w:lang w:val="en-US" w:eastAsia="zh-CN"/>
              </w:rPr>
              <w:t>46</w:t>
            </w:r>
          </w:p>
        </w:tc>
        <w:tc>
          <w:tcPr>
            <w:tcW w:w="1267" w:type="dxa"/>
            <w:tcBorders>
              <w:top w:val="single" w:color="auto" w:sz="4" w:space="0"/>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134F13A1">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华文仿宋" w:hAnsi="华文仿宋" w:eastAsia="华文仿宋" w:cs="华文仿宋"/>
                <w:sz w:val="24"/>
                <w:szCs w:val="24"/>
                <w:highlight w:val="none"/>
                <w:vertAlign w:val="baseline"/>
                <w:lang w:val="en-US" w:eastAsia="zh-CN"/>
              </w:rPr>
            </w:pPr>
          </w:p>
        </w:tc>
      </w:tr>
      <w:tr w14:paraId="4A2FF4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30" w:hRule="atLeast"/>
          <w:jc w:val="center"/>
        </w:trPr>
        <w:tc>
          <w:tcPr>
            <w:tcW w:w="2811"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27B0FB34">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sz w:val="24"/>
                <w:szCs w:val="24"/>
                <w:highlight w:val="none"/>
                <w:vertAlign w:val="baseline"/>
                <w:lang w:val="en-US" w:eastAsia="zh-CN"/>
              </w:rPr>
            </w:pPr>
            <w:r>
              <w:rPr>
                <w:rFonts w:hint="default" w:ascii="Times New Roman" w:hAnsi="Times New Roman" w:eastAsia="华文仿宋" w:cs="Times New Roman"/>
                <w:sz w:val="24"/>
                <w:szCs w:val="24"/>
                <w:highlight w:val="none"/>
                <w:vertAlign w:val="baseline"/>
                <w:lang w:val="en-US" w:eastAsia="zh-CN"/>
              </w:rPr>
              <w:t>2026</w:t>
            </w:r>
          </w:p>
        </w:tc>
        <w:tc>
          <w:tcPr>
            <w:tcW w:w="1781"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38D64C9B">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sz w:val="24"/>
                <w:szCs w:val="24"/>
                <w:highlight w:val="none"/>
                <w:vertAlign w:val="baseline"/>
                <w:lang w:val="en-US" w:eastAsia="zh-CN"/>
              </w:rPr>
            </w:pPr>
            <w:r>
              <w:rPr>
                <w:rFonts w:hint="default" w:ascii="Times New Roman" w:hAnsi="Times New Roman" w:eastAsia="华文仿宋" w:cs="Times New Roman"/>
                <w:sz w:val="24"/>
                <w:szCs w:val="24"/>
                <w:highlight w:val="none"/>
                <w:vertAlign w:val="baseline"/>
                <w:lang w:val="en-US" w:eastAsia="zh-CN"/>
              </w:rPr>
              <w:t>33</w:t>
            </w:r>
          </w:p>
        </w:tc>
        <w:tc>
          <w:tcPr>
            <w:tcW w:w="3161"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66D25F2F">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sz w:val="24"/>
                <w:szCs w:val="24"/>
                <w:highlight w:val="none"/>
                <w:vertAlign w:val="baseline"/>
                <w:lang w:val="en-US" w:eastAsia="zh-CN"/>
              </w:rPr>
            </w:pPr>
            <w:r>
              <w:rPr>
                <w:rFonts w:hint="default" w:ascii="Times New Roman" w:hAnsi="Times New Roman" w:eastAsia="华文仿宋" w:cs="Times New Roman"/>
                <w:sz w:val="24"/>
                <w:szCs w:val="24"/>
                <w:highlight w:val="none"/>
                <w:vertAlign w:val="baseline"/>
                <w:lang w:val="en-US" w:eastAsia="zh-CN"/>
              </w:rPr>
              <w:t>43</w:t>
            </w:r>
          </w:p>
        </w:tc>
        <w:tc>
          <w:tcPr>
            <w:tcW w:w="1267"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37E00A96">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华文仿宋" w:hAnsi="华文仿宋" w:eastAsia="华文仿宋" w:cs="华文仿宋"/>
                <w:sz w:val="24"/>
                <w:szCs w:val="24"/>
                <w:highlight w:val="none"/>
                <w:vertAlign w:val="baseline"/>
                <w:lang w:val="en-US" w:eastAsia="zh-CN"/>
              </w:rPr>
            </w:pPr>
          </w:p>
        </w:tc>
      </w:tr>
      <w:tr w14:paraId="375DA1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30" w:hRule="atLeast"/>
          <w:jc w:val="center"/>
        </w:trPr>
        <w:tc>
          <w:tcPr>
            <w:tcW w:w="2811"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78192D86">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sz w:val="24"/>
                <w:szCs w:val="24"/>
                <w:highlight w:val="none"/>
                <w:vertAlign w:val="baseline"/>
                <w:lang w:val="en-US" w:eastAsia="zh-CN"/>
              </w:rPr>
            </w:pPr>
            <w:r>
              <w:rPr>
                <w:rFonts w:hint="default" w:ascii="Times New Roman" w:hAnsi="Times New Roman" w:eastAsia="华文仿宋" w:cs="Times New Roman"/>
                <w:sz w:val="24"/>
                <w:szCs w:val="24"/>
                <w:highlight w:val="none"/>
                <w:vertAlign w:val="baseline"/>
                <w:lang w:val="en-US" w:eastAsia="zh-CN"/>
              </w:rPr>
              <w:t>2027</w:t>
            </w:r>
          </w:p>
        </w:tc>
        <w:tc>
          <w:tcPr>
            <w:tcW w:w="1781"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38E8521D">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sz w:val="24"/>
                <w:szCs w:val="24"/>
                <w:highlight w:val="none"/>
                <w:vertAlign w:val="baseline"/>
                <w:lang w:val="en-US" w:eastAsia="zh-CN"/>
              </w:rPr>
            </w:pPr>
            <w:r>
              <w:rPr>
                <w:rFonts w:hint="default" w:ascii="Times New Roman" w:hAnsi="Times New Roman" w:eastAsia="华文仿宋" w:cs="Times New Roman"/>
                <w:sz w:val="24"/>
                <w:szCs w:val="24"/>
                <w:highlight w:val="none"/>
                <w:vertAlign w:val="baseline"/>
                <w:lang w:val="en-US" w:eastAsia="zh-CN"/>
              </w:rPr>
              <w:t>32</w:t>
            </w:r>
          </w:p>
        </w:tc>
        <w:tc>
          <w:tcPr>
            <w:tcW w:w="3161"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7A763559">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sz w:val="24"/>
                <w:szCs w:val="24"/>
                <w:highlight w:val="none"/>
                <w:vertAlign w:val="baseline"/>
                <w:lang w:val="en-US" w:eastAsia="zh-CN"/>
              </w:rPr>
            </w:pPr>
            <w:r>
              <w:rPr>
                <w:rFonts w:hint="default" w:ascii="Times New Roman" w:hAnsi="Times New Roman" w:eastAsia="华文仿宋" w:cs="Times New Roman"/>
                <w:sz w:val="24"/>
                <w:szCs w:val="24"/>
                <w:highlight w:val="none"/>
                <w:vertAlign w:val="baseline"/>
                <w:lang w:val="en-US" w:eastAsia="zh-CN"/>
              </w:rPr>
              <w:t>41</w:t>
            </w:r>
          </w:p>
        </w:tc>
        <w:tc>
          <w:tcPr>
            <w:tcW w:w="1267"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1B0C6970">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华文仿宋" w:hAnsi="华文仿宋" w:eastAsia="华文仿宋" w:cs="华文仿宋"/>
                <w:sz w:val="24"/>
                <w:szCs w:val="24"/>
                <w:highlight w:val="none"/>
                <w:vertAlign w:val="baseline"/>
                <w:lang w:val="en-US" w:eastAsia="zh-CN"/>
              </w:rPr>
            </w:pPr>
          </w:p>
        </w:tc>
      </w:tr>
      <w:tr w14:paraId="6B27AF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30" w:hRule="atLeast"/>
          <w:jc w:val="center"/>
        </w:trPr>
        <w:tc>
          <w:tcPr>
            <w:tcW w:w="2811"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0191CB49">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sz w:val="24"/>
                <w:szCs w:val="24"/>
                <w:highlight w:val="none"/>
                <w:vertAlign w:val="baseline"/>
                <w:lang w:val="en-US" w:eastAsia="zh-CN"/>
              </w:rPr>
            </w:pPr>
            <w:r>
              <w:rPr>
                <w:rFonts w:hint="default" w:ascii="Times New Roman" w:hAnsi="Times New Roman" w:eastAsia="华文仿宋" w:cs="Times New Roman"/>
                <w:sz w:val="24"/>
                <w:szCs w:val="24"/>
                <w:highlight w:val="none"/>
                <w:vertAlign w:val="baseline"/>
                <w:lang w:val="en-US" w:eastAsia="zh-CN"/>
              </w:rPr>
              <w:t>2028</w:t>
            </w:r>
          </w:p>
        </w:tc>
        <w:tc>
          <w:tcPr>
            <w:tcW w:w="1781"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45728BD3">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sz w:val="24"/>
                <w:szCs w:val="24"/>
                <w:highlight w:val="none"/>
                <w:vertAlign w:val="baseline"/>
                <w:lang w:val="en-US" w:eastAsia="zh-CN"/>
              </w:rPr>
            </w:pPr>
            <w:r>
              <w:rPr>
                <w:rFonts w:hint="default" w:ascii="Times New Roman" w:hAnsi="Times New Roman" w:eastAsia="华文仿宋" w:cs="Times New Roman"/>
                <w:sz w:val="24"/>
                <w:szCs w:val="24"/>
                <w:highlight w:val="none"/>
                <w:vertAlign w:val="baseline"/>
                <w:lang w:val="en-US" w:eastAsia="zh-CN"/>
              </w:rPr>
              <w:t>30</w:t>
            </w:r>
          </w:p>
        </w:tc>
        <w:tc>
          <w:tcPr>
            <w:tcW w:w="3161"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6AA0B8D2">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sz w:val="24"/>
                <w:szCs w:val="24"/>
                <w:highlight w:val="none"/>
                <w:vertAlign w:val="baseline"/>
                <w:lang w:val="en-US" w:eastAsia="zh-CN"/>
              </w:rPr>
            </w:pPr>
            <w:r>
              <w:rPr>
                <w:rFonts w:hint="default" w:ascii="Times New Roman" w:hAnsi="Times New Roman" w:eastAsia="华文仿宋" w:cs="Times New Roman"/>
                <w:sz w:val="24"/>
                <w:szCs w:val="24"/>
                <w:highlight w:val="none"/>
                <w:vertAlign w:val="baseline"/>
                <w:lang w:val="en-US" w:eastAsia="zh-CN"/>
              </w:rPr>
              <w:t>39</w:t>
            </w:r>
          </w:p>
        </w:tc>
        <w:tc>
          <w:tcPr>
            <w:tcW w:w="1267"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11CE7BDC">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华文仿宋" w:hAnsi="华文仿宋" w:eastAsia="华文仿宋" w:cs="华文仿宋"/>
                <w:sz w:val="24"/>
                <w:szCs w:val="24"/>
                <w:highlight w:val="none"/>
                <w:vertAlign w:val="baseline"/>
                <w:lang w:val="en-US" w:eastAsia="zh-CN"/>
              </w:rPr>
            </w:pPr>
          </w:p>
        </w:tc>
      </w:tr>
      <w:tr w14:paraId="795F7A8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30" w:hRule="atLeast"/>
          <w:jc w:val="center"/>
        </w:trPr>
        <w:tc>
          <w:tcPr>
            <w:tcW w:w="2811"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2CC9032B">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sz w:val="24"/>
                <w:szCs w:val="24"/>
                <w:highlight w:val="none"/>
                <w:vertAlign w:val="baseline"/>
                <w:lang w:val="en-US" w:eastAsia="zh-CN"/>
              </w:rPr>
            </w:pPr>
            <w:r>
              <w:rPr>
                <w:rFonts w:hint="default" w:ascii="Times New Roman" w:hAnsi="Times New Roman" w:eastAsia="华文仿宋" w:cs="Times New Roman"/>
                <w:sz w:val="24"/>
                <w:szCs w:val="24"/>
                <w:highlight w:val="none"/>
                <w:vertAlign w:val="baseline"/>
                <w:lang w:val="en-US" w:eastAsia="zh-CN"/>
              </w:rPr>
              <w:t>2029</w:t>
            </w:r>
          </w:p>
        </w:tc>
        <w:tc>
          <w:tcPr>
            <w:tcW w:w="1781"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12384A4F">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sz w:val="24"/>
                <w:szCs w:val="24"/>
                <w:highlight w:val="none"/>
                <w:vertAlign w:val="baseline"/>
                <w:lang w:val="en-US" w:eastAsia="zh-CN"/>
              </w:rPr>
            </w:pPr>
            <w:r>
              <w:rPr>
                <w:rFonts w:hint="default" w:ascii="Times New Roman" w:hAnsi="Times New Roman" w:eastAsia="华文仿宋" w:cs="Times New Roman"/>
                <w:sz w:val="24"/>
                <w:szCs w:val="24"/>
                <w:highlight w:val="none"/>
                <w:vertAlign w:val="baseline"/>
                <w:lang w:val="en-US" w:eastAsia="zh-CN"/>
              </w:rPr>
              <w:t>29</w:t>
            </w:r>
          </w:p>
        </w:tc>
        <w:tc>
          <w:tcPr>
            <w:tcW w:w="3161"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47A14BED">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sz w:val="24"/>
                <w:szCs w:val="24"/>
                <w:highlight w:val="none"/>
                <w:vertAlign w:val="baseline"/>
                <w:lang w:val="en-US" w:eastAsia="zh-CN"/>
              </w:rPr>
            </w:pPr>
            <w:r>
              <w:rPr>
                <w:rFonts w:hint="default" w:ascii="Times New Roman" w:hAnsi="Times New Roman" w:eastAsia="华文仿宋" w:cs="Times New Roman"/>
                <w:sz w:val="24"/>
                <w:szCs w:val="24"/>
                <w:highlight w:val="none"/>
                <w:vertAlign w:val="baseline"/>
                <w:lang w:val="en-US" w:eastAsia="zh-CN"/>
              </w:rPr>
              <w:t>37</w:t>
            </w:r>
          </w:p>
        </w:tc>
        <w:tc>
          <w:tcPr>
            <w:tcW w:w="1267"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325A4715">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华文仿宋" w:hAnsi="华文仿宋" w:eastAsia="华文仿宋" w:cs="华文仿宋"/>
                <w:sz w:val="24"/>
                <w:szCs w:val="24"/>
                <w:highlight w:val="none"/>
                <w:vertAlign w:val="baseline"/>
                <w:lang w:val="en-US" w:eastAsia="zh-CN"/>
              </w:rPr>
            </w:pPr>
          </w:p>
        </w:tc>
      </w:tr>
      <w:tr w14:paraId="62EA04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30" w:hRule="atLeast"/>
          <w:jc w:val="center"/>
        </w:trPr>
        <w:tc>
          <w:tcPr>
            <w:tcW w:w="2811"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3D2F0A66">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sz w:val="24"/>
                <w:szCs w:val="24"/>
                <w:highlight w:val="none"/>
                <w:vertAlign w:val="baseline"/>
                <w:lang w:val="en-US" w:eastAsia="zh-CN"/>
              </w:rPr>
            </w:pPr>
            <w:r>
              <w:rPr>
                <w:rFonts w:hint="default" w:ascii="Times New Roman" w:hAnsi="Times New Roman" w:eastAsia="华文仿宋" w:cs="Times New Roman"/>
                <w:sz w:val="24"/>
                <w:szCs w:val="24"/>
                <w:highlight w:val="none"/>
                <w:vertAlign w:val="baseline"/>
                <w:lang w:val="en-US" w:eastAsia="zh-CN"/>
              </w:rPr>
              <w:t>2030</w:t>
            </w:r>
          </w:p>
        </w:tc>
        <w:tc>
          <w:tcPr>
            <w:tcW w:w="1781"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3F6F604A">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sz w:val="24"/>
                <w:szCs w:val="24"/>
                <w:highlight w:val="none"/>
                <w:vertAlign w:val="baseline"/>
                <w:lang w:val="en-US" w:eastAsia="zh-CN"/>
              </w:rPr>
            </w:pPr>
            <w:r>
              <w:rPr>
                <w:rFonts w:hint="default" w:ascii="Times New Roman" w:hAnsi="Times New Roman" w:eastAsia="华文仿宋" w:cs="Times New Roman"/>
                <w:sz w:val="24"/>
                <w:szCs w:val="24"/>
                <w:highlight w:val="none"/>
                <w:vertAlign w:val="baseline"/>
                <w:lang w:val="en-US" w:eastAsia="zh-CN"/>
              </w:rPr>
              <w:t>27</w:t>
            </w:r>
          </w:p>
        </w:tc>
        <w:tc>
          <w:tcPr>
            <w:tcW w:w="3161"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3C18A487">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sz w:val="24"/>
                <w:szCs w:val="24"/>
                <w:highlight w:val="none"/>
                <w:vertAlign w:val="baseline"/>
                <w:lang w:val="en-US" w:eastAsia="zh-CN"/>
              </w:rPr>
            </w:pPr>
            <w:r>
              <w:rPr>
                <w:rFonts w:hint="default" w:ascii="Times New Roman" w:hAnsi="Times New Roman" w:eastAsia="华文仿宋" w:cs="Times New Roman"/>
                <w:sz w:val="24"/>
                <w:szCs w:val="24"/>
                <w:highlight w:val="none"/>
                <w:vertAlign w:val="baseline"/>
                <w:lang w:val="en-US" w:eastAsia="zh-CN"/>
              </w:rPr>
              <w:t>35</w:t>
            </w:r>
          </w:p>
        </w:tc>
        <w:tc>
          <w:tcPr>
            <w:tcW w:w="1267"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36845229">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华文仿宋" w:hAnsi="华文仿宋" w:eastAsia="华文仿宋" w:cs="华文仿宋"/>
                <w:sz w:val="24"/>
                <w:szCs w:val="24"/>
                <w:highlight w:val="none"/>
                <w:vertAlign w:val="baseline"/>
                <w:lang w:val="en-US" w:eastAsia="zh-CN"/>
              </w:rPr>
            </w:pPr>
          </w:p>
        </w:tc>
      </w:tr>
      <w:tr w14:paraId="01D26D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30" w:hRule="atLeast"/>
          <w:jc w:val="center"/>
        </w:trPr>
        <w:tc>
          <w:tcPr>
            <w:tcW w:w="2811"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79B9702F">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sz w:val="24"/>
                <w:szCs w:val="24"/>
                <w:highlight w:val="none"/>
                <w:vertAlign w:val="baseline"/>
                <w:lang w:val="en-US" w:eastAsia="zh-CN"/>
              </w:rPr>
            </w:pPr>
            <w:r>
              <w:rPr>
                <w:rFonts w:hint="default" w:ascii="Times New Roman" w:hAnsi="Times New Roman" w:eastAsia="华文仿宋" w:cs="Times New Roman"/>
                <w:sz w:val="24"/>
                <w:szCs w:val="24"/>
                <w:highlight w:val="none"/>
                <w:vertAlign w:val="baseline"/>
                <w:lang w:val="en-US" w:eastAsia="zh-CN"/>
              </w:rPr>
              <w:t>2031</w:t>
            </w:r>
          </w:p>
        </w:tc>
        <w:tc>
          <w:tcPr>
            <w:tcW w:w="1781"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772B4C68">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sz w:val="24"/>
                <w:szCs w:val="24"/>
                <w:highlight w:val="none"/>
                <w:vertAlign w:val="baseline"/>
                <w:lang w:val="en-US" w:eastAsia="zh-CN"/>
              </w:rPr>
            </w:pPr>
            <w:r>
              <w:rPr>
                <w:rFonts w:hint="default" w:ascii="Times New Roman" w:hAnsi="Times New Roman" w:eastAsia="华文仿宋" w:cs="Times New Roman"/>
                <w:sz w:val="24"/>
                <w:szCs w:val="24"/>
                <w:highlight w:val="none"/>
                <w:vertAlign w:val="baseline"/>
                <w:lang w:val="en-US" w:eastAsia="zh-CN"/>
              </w:rPr>
              <w:t>26</w:t>
            </w:r>
          </w:p>
        </w:tc>
        <w:tc>
          <w:tcPr>
            <w:tcW w:w="3161"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2AD4E5CF">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sz w:val="24"/>
                <w:szCs w:val="24"/>
                <w:highlight w:val="none"/>
                <w:vertAlign w:val="baseline"/>
                <w:lang w:val="en-US" w:eastAsia="zh-CN"/>
              </w:rPr>
            </w:pPr>
            <w:r>
              <w:rPr>
                <w:rFonts w:hint="default" w:ascii="Times New Roman" w:hAnsi="Times New Roman" w:eastAsia="华文仿宋" w:cs="Times New Roman"/>
                <w:sz w:val="24"/>
                <w:szCs w:val="24"/>
                <w:highlight w:val="none"/>
                <w:vertAlign w:val="baseline"/>
                <w:lang w:val="en-US" w:eastAsia="zh-CN"/>
              </w:rPr>
              <w:t>34</w:t>
            </w:r>
          </w:p>
        </w:tc>
        <w:tc>
          <w:tcPr>
            <w:tcW w:w="1267"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6D447927">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华文仿宋" w:hAnsi="华文仿宋" w:eastAsia="华文仿宋" w:cs="华文仿宋"/>
                <w:sz w:val="24"/>
                <w:szCs w:val="24"/>
                <w:highlight w:val="none"/>
                <w:vertAlign w:val="baseline"/>
                <w:lang w:val="en-US" w:eastAsia="zh-CN"/>
              </w:rPr>
            </w:pPr>
          </w:p>
        </w:tc>
      </w:tr>
      <w:tr w14:paraId="45F294C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30" w:hRule="atLeast"/>
          <w:jc w:val="center"/>
        </w:trPr>
        <w:tc>
          <w:tcPr>
            <w:tcW w:w="2811"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43008026">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sz w:val="24"/>
                <w:szCs w:val="24"/>
                <w:highlight w:val="none"/>
                <w:vertAlign w:val="baseline"/>
                <w:lang w:val="en-US" w:eastAsia="zh-CN"/>
              </w:rPr>
            </w:pPr>
            <w:r>
              <w:rPr>
                <w:rFonts w:hint="default" w:ascii="Times New Roman" w:hAnsi="Times New Roman" w:eastAsia="华文仿宋" w:cs="Times New Roman"/>
                <w:sz w:val="24"/>
                <w:szCs w:val="24"/>
                <w:highlight w:val="none"/>
                <w:vertAlign w:val="baseline"/>
                <w:lang w:val="en-US" w:eastAsia="zh-CN"/>
              </w:rPr>
              <w:t>2032</w:t>
            </w:r>
          </w:p>
        </w:tc>
        <w:tc>
          <w:tcPr>
            <w:tcW w:w="1781"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5A8BEA62">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sz w:val="24"/>
                <w:szCs w:val="24"/>
                <w:highlight w:val="none"/>
                <w:vertAlign w:val="baseline"/>
                <w:lang w:val="en-US" w:eastAsia="zh-CN"/>
              </w:rPr>
            </w:pPr>
            <w:r>
              <w:rPr>
                <w:rFonts w:hint="default" w:ascii="Times New Roman" w:hAnsi="Times New Roman" w:eastAsia="华文仿宋" w:cs="Times New Roman"/>
                <w:sz w:val="24"/>
                <w:szCs w:val="24"/>
                <w:highlight w:val="none"/>
                <w:vertAlign w:val="baseline"/>
                <w:lang w:val="en-US" w:eastAsia="zh-CN"/>
              </w:rPr>
              <w:t>25</w:t>
            </w:r>
          </w:p>
        </w:tc>
        <w:tc>
          <w:tcPr>
            <w:tcW w:w="3161"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7B3330E9">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sz w:val="24"/>
                <w:szCs w:val="24"/>
                <w:highlight w:val="none"/>
                <w:vertAlign w:val="baseline"/>
                <w:lang w:val="en-US" w:eastAsia="zh-CN"/>
              </w:rPr>
            </w:pPr>
            <w:r>
              <w:rPr>
                <w:rFonts w:hint="default" w:ascii="Times New Roman" w:hAnsi="Times New Roman" w:eastAsia="华文仿宋" w:cs="Times New Roman"/>
                <w:sz w:val="24"/>
                <w:szCs w:val="24"/>
                <w:highlight w:val="none"/>
                <w:vertAlign w:val="baseline"/>
                <w:lang w:val="en-US" w:eastAsia="zh-CN"/>
              </w:rPr>
              <w:t>32</w:t>
            </w:r>
          </w:p>
        </w:tc>
        <w:tc>
          <w:tcPr>
            <w:tcW w:w="1267"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67479800">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华文仿宋" w:hAnsi="华文仿宋" w:eastAsia="华文仿宋" w:cs="华文仿宋"/>
                <w:sz w:val="24"/>
                <w:szCs w:val="24"/>
                <w:highlight w:val="none"/>
                <w:vertAlign w:val="baseline"/>
                <w:lang w:val="en-US" w:eastAsia="zh-CN"/>
              </w:rPr>
            </w:pPr>
          </w:p>
        </w:tc>
      </w:tr>
      <w:tr w14:paraId="0FF98B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atLeast"/>
          <w:jc w:val="center"/>
        </w:trPr>
        <w:tc>
          <w:tcPr>
            <w:tcW w:w="2811"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4A8F719F">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sz w:val="24"/>
                <w:szCs w:val="24"/>
                <w:highlight w:val="none"/>
                <w:vertAlign w:val="baseline"/>
                <w:lang w:val="en-US" w:eastAsia="zh-CN"/>
              </w:rPr>
            </w:pPr>
            <w:r>
              <w:rPr>
                <w:rFonts w:hint="default" w:ascii="Times New Roman" w:hAnsi="Times New Roman" w:eastAsia="华文仿宋" w:cs="Times New Roman"/>
                <w:sz w:val="24"/>
                <w:szCs w:val="24"/>
                <w:highlight w:val="none"/>
                <w:vertAlign w:val="baseline"/>
                <w:lang w:val="en-US" w:eastAsia="zh-CN"/>
              </w:rPr>
              <w:t>2033</w:t>
            </w:r>
          </w:p>
        </w:tc>
        <w:tc>
          <w:tcPr>
            <w:tcW w:w="1781"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2427E3EC">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sz w:val="24"/>
                <w:szCs w:val="24"/>
                <w:highlight w:val="none"/>
                <w:vertAlign w:val="baseline"/>
                <w:lang w:val="en-US" w:eastAsia="zh-CN"/>
              </w:rPr>
            </w:pPr>
            <w:r>
              <w:rPr>
                <w:rFonts w:hint="default" w:ascii="Times New Roman" w:hAnsi="Times New Roman" w:eastAsia="华文仿宋" w:cs="Times New Roman"/>
                <w:sz w:val="24"/>
                <w:szCs w:val="24"/>
                <w:highlight w:val="none"/>
                <w:vertAlign w:val="baseline"/>
                <w:lang w:val="en-US" w:eastAsia="zh-CN"/>
              </w:rPr>
              <w:t>23</w:t>
            </w:r>
          </w:p>
        </w:tc>
        <w:tc>
          <w:tcPr>
            <w:tcW w:w="3161"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2706FD6B">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sz w:val="24"/>
                <w:szCs w:val="24"/>
                <w:highlight w:val="none"/>
                <w:vertAlign w:val="baseline"/>
                <w:lang w:val="en-US" w:eastAsia="zh-CN"/>
              </w:rPr>
            </w:pPr>
            <w:r>
              <w:rPr>
                <w:rFonts w:hint="default" w:ascii="Times New Roman" w:hAnsi="Times New Roman" w:eastAsia="华文仿宋" w:cs="Times New Roman"/>
                <w:sz w:val="24"/>
                <w:szCs w:val="24"/>
                <w:highlight w:val="none"/>
                <w:vertAlign w:val="baseline"/>
                <w:lang w:val="en-US" w:eastAsia="zh-CN"/>
              </w:rPr>
              <w:t>30</w:t>
            </w:r>
          </w:p>
        </w:tc>
        <w:tc>
          <w:tcPr>
            <w:tcW w:w="1267"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56F9C91D">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华文仿宋" w:hAnsi="华文仿宋" w:eastAsia="华文仿宋" w:cs="华文仿宋"/>
                <w:sz w:val="24"/>
                <w:szCs w:val="24"/>
                <w:highlight w:val="none"/>
                <w:vertAlign w:val="baseline"/>
                <w:lang w:val="en-US" w:eastAsia="zh-CN"/>
              </w:rPr>
            </w:pPr>
          </w:p>
        </w:tc>
      </w:tr>
      <w:tr w14:paraId="7D50360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30" w:hRule="atLeast"/>
          <w:jc w:val="center"/>
        </w:trPr>
        <w:tc>
          <w:tcPr>
            <w:tcW w:w="2811"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31E0CBFA">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sz w:val="24"/>
                <w:szCs w:val="24"/>
                <w:highlight w:val="none"/>
                <w:vertAlign w:val="baseline"/>
                <w:lang w:val="en-US" w:eastAsia="zh-CN"/>
              </w:rPr>
            </w:pPr>
            <w:r>
              <w:rPr>
                <w:rFonts w:hint="default" w:ascii="Times New Roman" w:hAnsi="Times New Roman" w:eastAsia="华文仿宋" w:cs="Times New Roman"/>
                <w:sz w:val="24"/>
                <w:szCs w:val="24"/>
                <w:highlight w:val="none"/>
                <w:vertAlign w:val="baseline"/>
                <w:lang w:val="en-US" w:eastAsia="zh-CN"/>
              </w:rPr>
              <w:t>2034</w:t>
            </w:r>
          </w:p>
        </w:tc>
        <w:tc>
          <w:tcPr>
            <w:tcW w:w="1781"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3F07B83D">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sz w:val="24"/>
                <w:szCs w:val="24"/>
                <w:highlight w:val="none"/>
                <w:vertAlign w:val="baseline"/>
                <w:lang w:val="en-US" w:eastAsia="zh-CN"/>
              </w:rPr>
            </w:pPr>
            <w:r>
              <w:rPr>
                <w:rFonts w:hint="default" w:ascii="Times New Roman" w:hAnsi="Times New Roman" w:eastAsia="华文仿宋" w:cs="Times New Roman"/>
                <w:sz w:val="24"/>
                <w:szCs w:val="24"/>
                <w:highlight w:val="none"/>
                <w:vertAlign w:val="baseline"/>
                <w:lang w:val="en-US" w:eastAsia="zh-CN"/>
              </w:rPr>
              <w:t>22</w:t>
            </w:r>
          </w:p>
        </w:tc>
        <w:tc>
          <w:tcPr>
            <w:tcW w:w="3161"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12851EB8">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sz w:val="24"/>
                <w:szCs w:val="24"/>
                <w:highlight w:val="none"/>
                <w:vertAlign w:val="baseline"/>
                <w:lang w:val="en-US" w:eastAsia="zh-CN"/>
              </w:rPr>
            </w:pPr>
            <w:r>
              <w:rPr>
                <w:rFonts w:hint="default" w:ascii="Times New Roman" w:hAnsi="Times New Roman" w:eastAsia="华文仿宋" w:cs="Times New Roman"/>
                <w:sz w:val="24"/>
                <w:szCs w:val="24"/>
                <w:highlight w:val="none"/>
                <w:vertAlign w:val="baseline"/>
                <w:lang w:val="en-US" w:eastAsia="zh-CN"/>
              </w:rPr>
              <w:t>29</w:t>
            </w:r>
          </w:p>
        </w:tc>
        <w:tc>
          <w:tcPr>
            <w:tcW w:w="1267"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6CE742B3">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华文仿宋" w:hAnsi="华文仿宋" w:eastAsia="华文仿宋" w:cs="华文仿宋"/>
                <w:sz w:val="24"/>
                <w:szCs w:val="24"/>
                <w:highlight w:val="none"/>
                <w:vertAlign w:val="baseline"/>
                <w:lang w:val="en-US" w:eastAsia="zh-CN"/>
              </w:rPr>
            </w:pPr>
          </w:p>
        </w:tc>
      </w:tr>
      <w:tr w14:paraId="00F4ADB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30" w:hRule="atLeast"/>
          <w:jc w:val="center"/>
        </w:trPr>
        <w:tc>
          <w:tcPr>
            <w:tcW w:w="2811"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616A4F42">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sz w:val="24"/>
                <w:szCs w:val="24"/>
                <w:highlight w:val="none"/>
                <w:vertAlign w:val="baseline"/>
                <w:lang w:val="en-US" w:eastAsia="zh-CN"/>
              </w:rPr>
            </w:pPr>
            <w:r>
              <w:rPr>
                <w:rFonts w:hint="default" w:ascii="Times New Roman" w:hAnsi="Times New Roman" w:eastAsia="华文仿宋" w:cs="Times New Roman"/>
                <w:sz w:val="24"/>
                <w:szCs w:val="24"/>
                <w:highlight w:val="none"/>
                <w:vertAlign w:val="baseline"/>
                <w:lang w:val="en-US" w:eastAsia="zh-CN"/>
              </w:rPr>
              <w:t>2035</w:t>
            </w:r>
          </w:p>
        </w:tc>
        <w:tc>
          <w:tcPr>
            <w:tcW w:w="1781"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63C02D77">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sz w:val="24"/>
                <w:szCs w:val="24"/>
                <w:highlight w:val="none"/>
                <w:vertAlign w:val="baseline"/>
                <w:lang w:val="en-US" w:eastAsia="zh-CN"/>
              </w:rPr>
            </w:pPr>
            <w:r>
              <w:rPr>
                <w:rFonts w:hint="default" w:ascii="Times New Roman" w:hAnsi="Times New Roman" w:eastAsia="华文仿宋" w:cs="Times New Roman"/>
                <w:sz w:val="24"/>
                <w:szCs w:val="24"/>
                <w:highlight w:val="none"/>
                <w:vertAlign w:val="baseline"/>
                <w:lang w:val="en-US" w:eastAsia="zh-CN"/>
              </w:rPr>
              <w:t>21</w:t>
            </w:r>
          </w:p>
        </w:tc>
        <w:tc>
          <w:tcPr>
            <w:tcW w:w="3161"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071B44C9">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sz w:val="24"/>
                <w:szCs w:val="24"/>
                <w:highlight w:val="none"/>
                <w:vertAlign w:val="baseline"/>
                <w:lang w:val="en-US" w:eastAsia="zh-CN"/>
              </w:rPr>
            </w:pPr>
            <w:r>
              <w:rPr>
                <w:rFonts w:hint="default" w:ascii="Times New Roman" w:hAnsi="Times New Roman" w:eastAsia="华文仿宋" w:cs="Times New Roman"/>
                <w:sz w:val="24"/>
                <w:szCs w:val="24"/>
                <w:highlight w:val="none"/>
                <w:vertAlign w:val="baseline"/>
                <w:lang w:val="en-US" w:eastAsia="zh-CN"/>
              </w:rPr>
              <w:t>27</w:t>
            </w:r>
          </w:p>
        </w:tc>
        <w:tc>
          <w:tcPr>
            <w:tcW w:w="1267"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0F046F6F">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华文仿宋" w:hAnsi="华文仿宋" w:eastAsia="华文仿宋" w:cs="华文仿宋"/>
                <w:sz w:val="24"/>
                <w:szCs w:val="24"/>
                <w:highlight w:val="none"/>
                <w:vertAlign w:val="baseline"/>
                <w:lang w:val="en-US" w:eastAsia="zh-CN"/>
              </w:rPr>
            </w:pPr>
          </w:p>
        </w:tc>
      </w:tr>
      <w:tr w14:paraId="12EB4C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jc w:val="center"/>
        </w:trPr>
        <w:tc>
          <w:tcPr>
            <w:tcW w:w="2811" w:type="dxa"/>
            <w:tcBorders>
              <w:top w:val="nil"/>
              <w:left w:val="single" w:color="000000" w:sz="8" w:space="0"/>
              <w:bottom w:val="single" w:color="000000" w:sz="8" w:space="0"/>
              <w:right w:val="single" w:color="000000" w:sz="8" w:space="0"/>
            </w:tcBorders>
            <w:shd w:val="clear" w:color="auto" w:fill="auto"/>
            <w:noWrap/>
            <w:tcMar>
              <w:top w:w="15" w:type="dxa"/>
              <w:left w:w="15" w:type="dxa"/>
              <w:right w:w="15" w:type="dxa"/>
            </w:tcMar>
            <w:vAlign w:val="top"/>
          </w:tcPr>
          <w:p w14:paraId="3D26A0C2">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仿宋_GB2312" w:hAnsi="仿宋_GB2312" w:eastAsia="仿宋_GB2312" w:cs="仿宋_GB2312"/>
                <w:sz w:val="24"/>
                <w:szCs w:val="24"/>
                <w:highlight w:val="none"/>
                <w:vertAlign w:val="baseline"/>
                <w:lang w:val="en-US" w:eastAsia="zh-CN"/>
              </w:rPr>
            </w:pPr>
            <w:r>
              <w:rPr>
                <w:rFonts w:hint="eastAsia" w:ascii="仿宋_GB2312" w:hAnsi="仿宋_GB2312" w:eastAsia="仿宋_GB2312" w:cs="仿宋_GB2312"/>
                <w:sz w:val="24"/>
                <w:szCs w:val="24"/>
                <w:highlight w:val="none"/>
                <w:vertAlign w:val="baseline"/>
                <w:lang w:val="en-US" w:eastAsia="zh-CN"/>
              </w:rPr>
              <w:t>近期</w:t>
            </w:r>
            <w:r>
              <w:rPr>
                <w:rFonts w:hint="default" w:ascii="Times New Roman" w:hAnsi="Times New Roman" w:eastAsia="仿宋_GB2312" w:cs="Times New Roman"/>
                <w:sz w:val="24"/>
                <w:szCs w:val="24"/>
                <w:highlight w:val="none"/>
                <w:vertAlign w:val="baseline"/>
                <w:lang w:val="en-US" w:eastAsia="zh-CN"/>
              </w:rPr>
              <w:t>2024</w:t>
            </w:r>
            <w:r>
              <w:rPr>
                <w:rFonts w:hint="eastAsia" w:ascii="仿宋_GB2312" w:hAnsi="仿宋_GB2312" w:eastAsia="仿宋_GB2312" w:cs="仿宋_GB2312"/>
                <w:sz w:val="24"/>
                <w:szCs w:val="24"/>
                <w:highlight w:val="none"/>
                <w:vertAlign w:val="baseline"/>
                <w:lang w:val="en-US" w:eastAsia="zh-CN"/>
              </w:rPr>
              <w:t>—</w:t>
            </w:r>
            <w:r>
              <w:rPr>
                <w:rFonts w:hint="default" w:ascii="Times New Roman" w:hAnsi="Times New Roman" w:eastAsia="仿宋_GB2312" w:cs="Times New Roman"/>
                <w:sz w:val="24"/>
                <w:szCs w:val="24"/>
                <w:highlight w:val="none"/>
                <w:vertAlign w:val="baseline"/>
                <w:lang w:val="en-US" w:eastAsia="zh-CN"/>
              </w:rPr>
              <w:t>2030</w:t>
            </w:r>
            <w:r>
              <w:rPr>
                <w:rFonts w:hint="eastAsia" w:ascii="仿宋_GB2312" w:hAnsi="仿宋_GB2312" w:eastAsia="仿宋_GB2312" w:cs="仿宋_GB2312"/>
                <w:sz w:val="24"/>
                <w:szCs w:val="24"/>
                <w:highlight w:val="none"/>
                <w:vertAlign w:val="baseline"/>
                <w:lang w:val="en-US" w:eastAsia="zh-CN"/>
              </w:rPr>
              <w:t>(万吨)</w:t>
            </w:r>
          </w:p>
        </w:tc>
        <w:tc>
          <w:tcPr>
            <w:tcW w:w="1781"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7FEE4A34">
            <w:pPr>
              <w:keepNext w:val="0"/>
              <w:keepLines w:val="0"/>
              <w:pageBreakBefore w:val="0"/>
              <w:kinsoku/>
              <w:wordWrap/>
              <w:overflowPunct/>
              <w:topLinePunct w:val="0"/>
              <w:autoSpaceDE/>
              <w:autoSpaceDN/>
              <w:bidi w:val="0"/>
              <w:adjustRightInd/>
              <w:snapToGrid/>
              <w:spacing w:beforeAutospacing="0" w:afterAutospacing="0" w:line="400" w:lineRule="exact"/>
              <w:ind w:left="0" w:leftChars="0"/>
              <w:jc w:val="center"/>
              <w:textAlignment w:val="auto"/>
              <w:rPr>
                <w:rFonts w:hint="default" w:ascii="Times New Roman" w:hAnsi="Times New Roman" w:eastAsia="华文仿宋" w:cs="Times New Roman"/>
                <w:kern w:val="2"/>
                <w:sz w:val="24"/>
                <w:szCs w:val="24"/>
                <w:highlight w:val="none"/>
                <w:vertAlign w:val="baseline"/>
                <w:lang w:val="en-US" w:eastAsia="zh-CN" w:bidi="ar-SA"/>
              </w:rPr>
            </w:pPr>
          </w:p>
        </w:tc>
        <w:tc>
          <w:tcPr>
            <w:tcW w:w="3161"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04C380D1">
            <w:pPr>
              <w:keepNext w:val="0"/>
              <w:keepLines w:val="0"/>
              <w:pageBreakBefore w:val="0"/>
              <w:widowControl/>
              <w:suppressLineNumbers w:val="0"/>
              <w:kinsoku/>
              <w:wordWrap/>
              <w:overflowPunct/>
              <w:topLinePunct w:val="0"/>
              <w:autoSpaceDE/>
              <w:autoSpaceDN/>
              <w:bidi w:val="0"/>
              <w:adjustRightInd/>
              <w:snapToGrid/>
              <w:spacing w:beforeAutospacing="0" w:afterAutospacing="0" w:line="400" w:lineRule="exact"/>
              <w:ind w:left="0" w:leftChars="0" w:firstLine="1440" w:firstLineChars="600"/>
              <w:jc w:val="both"/>
              <w:textAlignment w:val="auto"/>
              <w:rPr>
                <w:rFonts w:hint="default" w:ascii="Times New Roman" w:hAnsi="Times New Roman" w:eastAsia="华文仿宋" w:cs="Times New Roman"/>
                <w:kern w:val="2"/>
                <w:sz w:val="24"/>
                <w:szCs w:val="24"/>
                <w:highlight w:val="none"/>
                <w:vertAlign w:val="baseline"/>
                <w:lang w:val="en-US" w:eastAsia="zh-CN" w:bidi="ar-SA"/>
              </w:rPr>
            </w:pPr>
            <w:r>
              <w:rPr>
                <w:rFonts w:hint="default" w:ascii="Times New Roman" w:hAnsi="Times New Roman" w:eastAsia="华文仿宋" w:cs="Times New Roman"/>
                <w:kern w:val="2"/>
                <w:sz w:val="24"/>
                <w:szCs w:val="24"/>
                <w:highlight w:val="none"/>
                <w:vertAlign w:val="baseline"/>
                <w:lang w:val="en-US" w:eastAsia="zh-CN" w:bidi="ar-SA"/>
              </w:rPr>
              <w:t>291</w:t>
            </w:r>
          </w:p>
        </w:tc>
        <w:tc>
          <w:tcPr>
            <w:tcW w:w="1267"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49621805">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华文仿宋" w:hAnsi="华文仿宋" w:eastAsia="华文仿宋" w:cs="华文仿宋"/>
                <w:sz w:val="24"/>
                <w:szCs w:val="24"/>
                <w:highlight w:val="none"/>
                <w:vertAlign w:val="baseline"/>
                <w:lang w:val="en-US" w:eastAsia="zh-CN"/>
              </w:rPr>
            </w:pPr>
          </w:p>
        </w:tc>
      </w:tr>
      <w:tr w14:paraId="713FB6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jc w:val="center"/>
        </w:trPr>
        <w:tc>
          <w:tcPr>
            <w:tcW w:w="2811" w:type="dxa"/>
            <w:tcBorders>
              <w:top w:val="nil"/>
              <w:left w:val="single" w:color="000000" w:sz="8" w:space="0"/>
              <w:bottom w:val="single" w:color="000000" w:sz="8" w:space="0"/>
              <w:right w:val="single" w:color="000000" w:sz="8" w:space="0"/>
            </w:tcBorders>
            <w:shd w:val="clear" w:color="auto" w:fill="auto"/>
            <w:noWrap/>
            <w:tcMar>
              <w:top w:w="15" w:type="dxa"/>
              <w:left w:w="15" w:type="dxa"/>
              <w:right w:w="15" w:type="dxa"/>
            </w:tcMar>
            <w:vAlign w:val="top"/>
          </w:tcPr>
          <w:p w14:paraId="2AAFA90D">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仿宋_GB2312" w:hAnsi="仿宋_GB2312" w:eastAsia="仿宋_GB2312" w:cs="仿宋_GB2312"/>
                <w:sz w:val="24"/>
                <w:szCs w:val="24"/>
                <w:highlight w:val="none"/>
                <w:vertAlign w:val="baseline"/>
                <w:lang w:val="en-US" w:eastAsia="zh-CN"/>
              </w:rPr>
            </w:pPr>
            <w:r>
              <w:rPr>
                <w:rFonts w:hint="eastAsia" w:ascii="仿宋_GB2312" w:hAnsi="仿宋_GB2312" w:eastAsia="仿宋_GB2312" w:cs="仿宋_GB2312"/>
                <w:sz w:val="24"/>
                <w:szCs w:val="24"/>
                <w:highlight w:val="none"/>
                <w:vertAlign w:val="baseline"/>
                <w:lang w:val="en-US" w:eastAsia="zh-CN"/>
              </w:rPr>
              <w:t>远期</w:t>
            </w:r>
            <w:r>
              <w:rPr>
                <w:rFonts w:hint="default" w:ascii="Times New Roman" w:hAnsi="Times New Roman" w:eastAsia="仿宋_GB2312" w:cs="Times New Roman"/>
                <w:sz w:val="24"/>
                <w:szCs w:val="24"/>
                <w:highlight w:val="none"/>
                <w:vertAlign w:val="baseline"/>
                <w:lang w:val="en-US" w:eastAsia="zh-CN"/>
              </w:rPr>
              <w:t>2031</w:t>
            </w:r>
            <w:r>
              <w:rPr>
                <w:rFonts w:hint="eastAsia" w:ascii="仿宋_GB2312" w:hAnsi="仿宋_GB2312" w:eastAsia="仿宋_GB2312" w:cs="仿宋_GB2312"/>
                <w:sz w:val="24"/>
                <w:szCs w:val="24"/>
                <w:highlight w:val="none"/>
                <w:vertAlign w:val="baseline"/>
                <w:lang w:val="en-US" w:eastAsia="zh-CN"/>
              </w:rPr>
              <w:t>—</w:t>
            </w:r>
            <w:r>
              <w:rPr>
                <w:rFonts w:hint="default" w:ascii="Times New Roman" w:hAnsi="Times New Roman" w:eastAsia="仿宋_GB2312" w:cs="Times New Roman"/>
                <w:sz w:val="24"/>
                <w:szCs w:val="24"/>
                <w:highlight w:val="none"/>
                <w:vertAlign w:val="baseline"/>
                <w:lang w:val="en-US" w:eastAsia="zh-CN"/>
              </w:rPr>
              <w:t>2035</w:t>
            </w:r>
            <w:r>
              <w:rPr>
                <w:rFonts w:hint="eastAsia" w:ascii="仿宋_GB2312" w:hAnsi="仿宋_GB2312" w:eastAsia="仿宋_GB2312" w:cs="仿宋_GB2312"/>
                <w:sz w:val="24"/>
                <w:szCs w:val="24"/>
                <w:highlight w:val="none"/>
                <w:vertAlign w:val="baseline"/>
                <w:lang w:val="en-US" w:eastAsia="zh-CN"/>
              </w:rPr>
              <w:t>(万吨)</w:t>
            </w:r>
          </w:p>
        </w:tc>
        <w:tc>
          <w:tcPr>
            <w:tcW w:w="1781"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402F4207">
            <w:pPr>
              <w:keepNext w:val="0"/>
              <w:keepLines w:val="0"/>
              <w:pageBreakBefore w:val="0"/>
              <w:kinsoku/>
              <w:wordWrap/>
              <w:overflowPunct/>
              <w:topLinePunct w:val="0"/>
              <w:autoSpaceDE/>
              <w:autoSpaceDN/>
              <w:bidi w:val="0"/>
              <w:adjustRightInd/>
              <w:snapToGrid/>
              <w:spacing w:beforeAutospacing="0" w:afterAutospacing="0" w:line="400" w:lineRule="exact"/>
              <w:ind w:left="0" w:leftChars="0"/>
              <w:jc w:val="center"/>
              <w:textAlignment w:val="auto"/>
              <w:rPr>
                <w:rFonts w:hint="default" w:ascii="Times New Roman" w:hAnsi="Times New Roman" w:eastAsia="华文仿宋" w:cs="Times New Roman"/>
                <w:kern w:val="2"/>
                <w:sz w:val="24"/>
                <w:szCs w:val="24"/>
                <w:highlight w:val="none"/>
                <w:vertAlign w:val="baseline"/>
                <w:lang w:val="en-US" w:eastAsia="zh-CN" w:bidi="ar-SA"/>
              </w:rPr>
            </w:pPr>
          </w:p>
        </w:tc>
        <w:tc>
          <w:tcPr>
            <w:tcW w:w="3161"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6F6C0FFB">
            <w:pPr>
              <w:keepNext w:val="0"/>
              <w:keepLines w:val="0"/>
              <w:pageBreakBefore w:val="0"/>
              <w:widowControl/>
              <w:suppressLineNumbers w:val="0"/>
              <w:kinsoku/>
              <w:wordWrap/>
              <w:overflowPunct/>
              <w:topLinePunct w:val="0"/>
              <w:autoSpaceDE/>
              <w:autoSpaceDN/>
              <w:bidi w:val="0"/>
              <w:adjustRightInd/>
              <w:snapToGrid/>
              <w:spacing w:beforeAutospacing="0" w:afterAutospacing="0" w:line="400" w:lineRule="exact"/>
              <w:ind w:left="0" w:leftChars="0" w:firstLine="1440" w:firstLineChars="600"/>
              <w:jc w:val="both"/>
              <w:textAlignment w:val="auto"/>
              <w:rPr>
                <w:rFonts w:hint="default" w:ascii="Times New Roman" w:hAnsi="Times New Roman" w:eastAsia="华文仿宋" w:cs="Times New Roman"/>
                <w:kern w:val="2"/>
                <w:sz w:val="24"/>
                <w:szCs w:val="24"/>
                <w:highlight w:val="none"/>
                <w:vertAlign w:val="baseline"/>
                <w:lang w:val="en-US" w:eastAsia="zh-CN" w:bidi="ar-SA"/>
              </w:rPr>
            </w:pPr>
            <w:r>
              <w:rPr>
                <w:rFonts w:hint="default" w:ascii="Times New Roman" w:hAnsi="Times New Roman" w:eastAsia="华文仿宋" w:cs="Times New Roman"/>
                <w:kern w:val="2"/>
                <w:sz w:val="24"/>
                <w:szCs w:val="24"/>
                <w:highlight w:val="none"/>
                <w:vertAlign w:val="baseline"/>
                <w:lang w:val="en-US" w:eastAsia="zh-CN" w:bidi="ar-SA"/>
              </w:rPr>
              <w:t>152</w:t>
            </w:r>
          </w:p>
        </w:tc>
        <w:tc>
          <w:tcPr>
            <w:tcW w:w="1267" w:type="dxa"/>
            <w:tcBorders>
              <w:top w:val="nil"/>
              <w:left w:val="single" w:color="000000" w:sz="8" w:space="0"/>
              <w:bottom w:val="single" w:color="000000" w:sz="8" w:space="0"/>
              <w:right w:val="single" w:color="000000" w:sz="8" w:space="0"/>
            </w:tcBorders>
            <w:shd w:val="clear" w:color="auto" w:fill="auto"/>
            <w:noWrap/>
            <w:tcMar>
              <w:top w:w="15" w:type="dxa"/>
              <w:left w:w="15" w:type="dxa"/>
              <w:right w:w="15" w:type="dxa"/>
            </w:tcMar>
            <w:vAlign w:val="center"/>
          </w:tcPr>
          <w:p w14:paraId="1C0F7EC0">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华文仿宋" w:hAnsi="华文仿宋" w:eastAsia="华文仿宋" w:cs="华文仿宋"/>
                <w:sz w:val="24"/>
                <w:szCs w:val="24"/>
                <w:highlight w:val="none"/>
                <w:vertAlign w:val="baseline"/>
                <w:lang w:val="en-US" w:eastAsia="zh-CN"/>
              </w:rPr>
            </w:pPr>
          </w:p>
        </w:tc>
      </w:tr>
    </w:tbl>
    <w:p w14:paraId="6F28185C">
      <w:pPr>
        <w:pageBreakBefore w:val="0"/>
        <w:kinsoku/>
        <w:wordWrap/>
        <w:topLinePunct w:val="0"/>
        <w:bidi w:val="0"/>
        <w:spacing w:beforeAutospacing="0" w:afterAutospacing="0" w:line="560" w:lineRule="exact"/>
        <w:ind w:left="0" w:leftChars="0" w:firstLine="0" w:firstLineChars="0"/>
        <w:rPr>
          <w:rFonts w:hint="eastAsia"/>
          <w:color w:val="auto"/>
          <w:highlight w:val="none"/>
          <w:u w:val="none"/>
          <w:lang w:val="en-US" w:eastAsia="zh-CN"/>
        </w:rPr>
      </w:pPr>
    </w:p>
    <w:p w14:paraId="77C95A15">
      <w:pPr>
        <w:pageBreakBefore w:val="0"/>
        <w:kinsoku/>
        <w:wordWrap/>
        <w:topLinePunct w:val="0"/>
        <w:bidi w:val="0"/>
        <w:spacing w:beforeAutospacing="0" w:afterAutospacing="0" w:line="560" w:lineRule="exact"/>
        <w:ind w:left="0" w:leftChars="0" w:firstLine="640" w:firstLineChars="200"/>
        <w:rPr>
          <w:rFonts w:hint="default" w:ascii="Times New Roman" w:hAnsi="Times New Roman" w:eastAsia="仿宋_GB2312" w:cs="Times New Roman"/>
          <w:b/>
          <w:bCs/>
          <w:color w:val="auto"/>
          <w:sz w:val="32"/>
          <w:szCs w:val="32"/>
          <w:highlight w:val="none"/>
          <w:u w:val="none"/>
          <w:lang w:val="en-US" w:eastAsia="zh-CN"/>
        </w:rPr>
      </w:pPr>
      <w:r>
        <w:rPr>
          <w:rFonts w:hint="default" w:ascii="Times New Roman" w:hAnsi="Times New Roman" w:eastAsia="仿宋_GB2312" w:cs="Times New Roman"/>
          <w:b w:val="0"/>
          <w:bCs w:val="0"/>
          <w:color w:val="auto"/>
          <w:sz w:val="32"/>
          <w:szCs w:val="32"/>
          <w:highlight w:val="none"/>
          <w:u w:val="none"/>
          <w:lang w:val="en-US" w:eastAsia="zh-CN"/>
        </w:rPr>
        <w:t>2．工程泥浆预测</w:t>
      </w:r>
    </w:p>
    <w:p w14:paraId="3B154FB0">
      <w:pPr>
        <w:pageBreakBefore w:val="0"/>
        <w:kinsoku/>
        <w:wordWrap/>
        <w:topLinePunct w:val="0"/>
        <w:bidi w:val="0"/>
        <w:spacing w:beforeAutospacing="0" w:afterAutospacing="0" w:line="560" w:lineRule="exact"/>
        <w:ind w:left="0" w:leftChars="0" w:firstLine="640" w:firstLineChars="200"/>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（1）工程</w:t>
      </w:r>
      <w:r>
        <w:rPr>
          <w:rFonts w:hint="default" w:ascii="Times New Roman" w:hAnsi="Times New Roman" w:eastAsia="仿宋_GB2312" w:cs="Times New Roman"/>
          <w:color w:val="auto"/>
          <w:sz w:val="32"/>
          <w:szCs w:val="32"/>
          <w:highlight w:val="none"/>
          <w:u w:val="none"/>
          <w:lang w:eastAsia="zh-CN"/>
        </w:rPr>
        <w:t>泥浆</w:t>
      </w:r>
      <w:r>
        <w:rPr>
          <w:rFonts w:hint="default" w:ascii="Times New Roman" w:hAnsi="Times New Roman" w:eastAsia="仿宋_GB2312" w:cs="Times New Roman"/>
          <w:color w:val="auto"/>
          <w:sz w:val="32"/>
          <w:szCs w:val="32"/>
          <w:highlight w:val="none"/>
          <w:u w:val="none"/>
        </w:rPr>
        <w:t>的预测方法：</w:t>
      </w:r>
    </w:p>
    <w:p w14:paraId="224C7EDA">
      <w:pPr>
        <w:pageBreakBefore w:val="0"/>
        <w:kinsoku/>
        <w:wordWrap/>
        <w:topLinePunct w:val="0"/>
        <w:bidi w:val="0"/>
        <w:spacing w:beforeAutospacing="0" w:afterAutospacing="0" w:line="560" w:lineRule="exact"/>
        <w:ind w:left="0" w:leftChars="0" w:firstLine="640" w:firstLineChars="200"/>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color w:val="auto"/>
          <w:sz w:val="32"/>
          <w:szCs w:val="32"/>
          <w:highlight w:val="none"/>
          <w:u w:val="none"/>
        </w:rPr>
        <w:t>M</w:t>
      </w:r>
      <w:r>
        <w:rPr>
          <w:rFonts w:hint="default" w:ascii="Times New Roman" w:hAnsi="Times New Roman" w:eastAsia="仿宋_GB2312" w:cs="Times New Roman"/>
          <w:color w:val="auto"/>
          <w:sz w:val="32"/>
          <w:szCs w:val="32"/>
          <w:highlight w:val="none"/>
          <w:u w:val="none"/>
          <w:vertAlign w:val="subscript"/>
          <w:lang w:val="en-US" w:eastAsia="zh-CN"/>
        </w:rPr>
        <w:t>n</w:t>
      </w:r>
      <w:r>
        <w:rPr>
          <w:rFonts w:hint="default" w:ascii="Times New Roman" w:hAnsi="Times New Roman" w:eastAsia="仿宋_GB2312" w:cs="Times New Roman"/>
          <w:color w:val="auto"/>
          <w:sz w:val="32"/>
          <w:szCs w:val="32"/>
          <w:highlight w:val="none"/>
          <w:u w:val="none"/>
        </w:rPr>
        <w:t>=R</w:t>
      </w:r>
      <w:r>
        <w:rPr>
          <w:rFonts w:hint="default" w:ascii="Times New Roman" w:hAnsi="Times New Roman" w:eastAsia="仿宋_GB2312" w:cs="Times New Roman"/>
          <w:color w:val="auto"/>
          <w:sz w:val="32"/>
          <w:szCs w:val="32"/>
          <w:highlight w:val="none"/>
          <w:u w:val="none"/>
          <w:vertAlign w:val="subscript"/>
        </w:rPr>
        <w:t>g</w:t>
      </w:r>
      <w:r>
        <w:rPr>
          <w:rFonts w:hint="default" w:ascii="Times New Roman" w:hAnsi="Times New Roman" w:eastAsia="仿宋_GB2312" w:cs="Times New Roman"/>
          <w:color w:val="auto"/>
          <w:sz w:val="32"/>
          <w:szCs w:val="32"/>
          <w:highlight w:val="none"/>
          <w:u w:val="none"/>
        </w:rPr>
        <w:t>×m</w:t>
      </w:r>
      <w:r>
        <w:rPr>
          <w:rFonts w:hint="default" w:ascii="Times New Roman" w:hAnsi="Times New Roman" w:eastAsia="仿宋_GB2312" w:cs="Times New Roman"/>
          <w:color w:val="auto"/>
          <w:sz w:val="32"/>
          <w:szCs w:val="32"/>
          <w:highlight w:val="none"/>
          <w:u w:val="none"/>
          <w:vertAlign w:val="subscript"/>
          <w:lang w:val="en-US" w:eastAsia="zh-CN"/>
        </w:rPr>
        <w:t>n</w:t>
      </w:r>
    </w:p>
    <w:p w14:paraId="70652FC5">
      <w:pPr>
        <w:pageBreakBefore w:val="0"/>
        <w:kinsoku/>
        <w:wordWrap/>
        <w:topLinePunct w:val="0"/>
        <w:bidi w:val="0"/>
        <w:spacing w:beforeAutospacing="0" w:afterAutospacing="0" w:line="560" w:lineRule="exact"/>
        <w:ind w:left="0" w:leftChars="0" w:firstLine="640" w:firstLineChars="200"/>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式中：M</w:t>
      </w:r>
      <w:r>
        <w:rPr>
          <w:rFonts w:hint="default" w:ascii="Times New Roman" w:hAnsi="Times New Roman" w:eastAsia="仿宋_GB2312" w:cs="Times New Roman"/>
          <w:color w:val="auto"/>
          <w:sz w:val="32"/>
          <w:szCs w:val="32"/>
          <w:highlight w:val="none"/>
          <w:u w:val="none"/>
          <w:vertAlign w:val="subscript"/>
          <w:lang w:val="en-US" w:eastAsia="zh-CN"/>
        </w:rPr>
        <w:t>n</w:t>
      </w:r>
      <w:r>
        <w:rPr>
          <w:rFonts w:hint="eastAsia"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rPr>
        <w:t>某城市或区域工程</w:t>
      </w:r>
      <w:r>
        <w:rPr>
          <w:rFonts w:hint="default" w:ascii="Times New Roman" w:hAnsi="Times New Roman" w:eastAsia="仿宋_GB2312" w:cs="Times New Roman"/>
          <w:color w:val="auto"/>
          <w:sz w:val="32"/>
          <w:szCs w:val="32"/>
          <w:highlight w:val="none"/>
          <w:u w:val="none"/>
          <w:lang w:eastAsia="zh-CN"/>
        </w:rPr>
        <w:t>泥浆</w:t>
      </w:r>
      <w:r>
        <w:rPr>
          <w:rFonts w:hint="default" w:ascii="Times New Roman" w:hAnsi="Times New Roman" w:eastAsia="仿宋_GB2312" w:cs="Times New Roman"/>
          <w:color w:val="auto"/>
          <w:sz w:val="32"/>
          <w:szCs w:val="32"/>
          <w:highlight w:val="none"/>
          <w:u w:val="none"/>
        </w:rPr>
        <w:t>产生量，</w:t>
      </w:r>
      <w:r>
        <w:rPr>
          <w:rFonts w:hint="default" w:ascii="Times New Roman" w:hAnsi="Times New Roman" w:eastAsia="仿宋_GB2312" w:cs="Times New Roman"/>
          <w:color w:val="auto"/>
          <w:sz w:val="32"/>
          <w:szCs w:val="32"/>
          <w:highlight w:val="none"/>
          <w:u w:val="none"/>
          <w:lang w:eastAsia="zh-CN"/>
        </w:rPr>
        <w:t>万吨</w:t>
      </w:r>
      <w:r>
        <w:rPr>
          <w:rFonts w:hint="default" w:ascii="Times New Roman" w:hAnsi="Times New Roman" w:eastAsia="仿宋_GB2312" w:cs="Times New Roman"/>
          <w:color w:val="auto"/>
          <w:sz w:val="32"/>
          <w:szCs w:val="32"/>
          <w:highlight w:val="none"/>
          <w:u w:val="none"/>
        </w:rPr>
        <w:t>/</w:t>
      </w:r>
      <w:r>
        <w:rPr>
          <w:rFonts w:hint="default" w:ascii="Times New Roman" w:hAnsi="Times New Roman" w:eastAsia="仿宋_GB2312" w:cs="Times New Roman"/>
          <w:color w:val="auto"/>
          <w:sz w:val="32"/>
          <w:szCs w:val="32"/>
          <w:highlight w:val="none"/>
          <w:u w:val="none"/>
          <w:lang w:eastAsia="zh-CN"/>
        </w:rPr>
        <w:t>年</w:t>
      </w:r>
      <w:r>
        <w:rPr>
          <w:rFonts w:hint="default" w:ascii="Times New Roman" w:hAnsi="Times New Roman" w:eastAsia="仿宋_GB2312" w:cs="Times New Roman"/>
          <w:color w:val="auto"/>
          <w:sz w:val="32"/>
          <w:szCs w:val="32"/>
          <w:highlight w:val="none"/>
          <w:u w:val="none"/>
        </w:rPr>
        <w:t>；</w:t>
      </w:r>
    </w:p>
    <w:p w14:paraId="27AA270B">
      <w:pPr>
        <w:pageBreakBefore w:val="0"/>
        <w:kinsoku/>
        <w:wordWrap/>
        <w:topLinePunct w:val="0"/>
        <w:bidi w:val="0"/>
        <w:spacing w:beforeAutospacing="0" w:afterAutospacing="0" w:line="560" w:lineRule="exact"/>
        <w:ind w:left="0" w:leftChars="0" w:firstLine="1600" w:firstLineChars="500"/>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R</w:t>
      </w:r>
      <w:r>
        <w:rPr>
          <w:rFonts w:hint="default" w:ascii="Times New Roman" w:hAnsi="Times New Roman" w:eastAsia="仿宋_GB2312" w:cs="Times New Roman"/>
          <w:color w:val="auto"/>
          <w:sz w:val="32"/>
          <w:szCs w:val="32"/>
          <w:highlight w:val="none"/>
          <w:u w:val="none"/>
          <w:vertAlign w:val="subscript"/>
        </w:rPr>
        <w:t>g</w:t>
      </w:r>
      <w:r>
        <w:rPr>
          <w:rFonts w:hint="eastAsia"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rPr>
        <w:t>城市或区域新增建筑面积，</w:t>
      </w:r>
      <w:r>
        <w:rPr>
          <w:rFonts w:hint="default" w:ascii="Times New Roman" w:hAnsi="Times New Roman" w:eastAsia="仿宋_GB2312" w:cs="Times New Roman"/>
          <w:color w:val="auto"/>
          <w:sz w:val="32"/>
          <w:szCs w:val="32"/>
          <w:highlight w:val="none"/>
          <w:u w:val="none"/>
          <w:lang w:eastAsia="zh-CN"/>
        </w:rPr>
        <w:t>万平方米</w:t>
      </w:r>
      <w:r>
        <w:rPr>
          <w:rFonts w:hint="default" w:ascii="Times New Roman" w:hAnsi="Times New Roman" w:eastAsia="仿宋_GB2312" w:cs="Times New Roman"/>
          <w:color w:val="auto"/>
          <w:sz w:val="32"/>
          <w:szCs w:val="32"/>
          <w:highlight w:val="none"/>
          <w:u w:val="none"/>
        </w:rPr>
        <w:t>/</w:t>
      </w:r>
      <w:r>
        <w:rPr>
          <w:rFonts w:hint="default" w:ascii="Times New Roman" w:hAnsi="Times New Roman" w:eastAsia="仿宋_GB2312" w:cs="Times New Roman"/>
          <w:color w:val="auto"/>
          <w:sz w:val="32"/>
          <w:szCs w:val="32"/>
          <w:highlight w:val="none"/>
          <w:u w:val="none"/>
          <w:lang w:eastAsia="zh-CN"/>
        </w:rPr>
        <w:t>年</w:t>
      </w:r>
      <w:r>
        <w:rPr>
          <w:rFonts w:hint="default" w:ascii="Times New Roman" w:hAnsi="Times New Roman" w:eastAsia="仿宋_GB2312" w:cs="Times New Roman"/>
          <w:color w:val="auto"/>
          <w:sz w:val="32"/>
          <w:szCs w:val="32"/>
          <w:highlight w:val="none"/>
          <w:u w:val="none"/>
        </w:rPr>
        <w:t>；</w:t>
      </w:r>
    </w:p>
    <w:p w14:paraId="0D57357C">
      <w:pPr>
        <w:pageBreakBefore w:val="0"/>
        <w:kinsoku/>
        <w:wordWrap/>
        <w:topLinePunct w:val="0"/>
        <w:bidi w:val="0"/>
        <w:spacing w:beforeAutospacing="0" w:afterAutospacing="0" w:line="560" w:lineRule="exact"/>
        <w:ind w:left="0" w:leftChars="0" w:firstLine="1600" w:firstLineChars="500"/>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m</w:t>
      </w:r>
      <w:r>
        <w:rPr>
          <w:rFonts w:hint="default" w:ascii="Times New Roman" w:hAnsi="Times New Roman" w:eastAsia="仿宋_GB2312" w:cs="Times New Roman"/>
          <w:color w:val="auto"/>
          <w:sz w:val="32"/>
          <w:szCs w:val="32"/>
          <w:highlight w:val="none"/>
          <w:u w:val="none"/>
          <w:vertAlign w:val="subscript"/>
          <w:lang w:val="en-US" w:eastAsia="zh-CN"/>
        </w:rPr>
        <w:t>n</w:t>
      </w:r>
      <w:r>
        <w:rPr>
          <w:rFonts w:hint="eastAsia"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rPr>
        <w:t>单位面积工程</w:t>
      </w:r>
      <w:r>
        <w:rPr>
          <w:rFonts w:hint="default" w:ascii="Times New Roman" w:hAnsi="Times New Roman" w:eastAsia="仿宋_GB2312" w:cs="Times New Roman"/>
          <w:color w:val="auto"/>
          <w:sz w:val="32"/>
          <w:szCs w:val="32"/>
          <w:highlight w:val="none"/>
          <w:u w:val="none"/>
          <w:lang w:eastAsia="zh-CN"/>
        </w:rPr>
        <w:t>泥浆</w:t>
      </w:r>
      <w:r>
        <w:rPr>
          <w:rFonts w:hint="default" w:ascii="Times New Roman" w:hAnsi="Times New Roman" w:eastAsia="仿宋_GB2312" w:cs="Times New Roman"/>
          <w:color w:val="auto"/>
          <w:sz w:val="32"/>
          <w:szCs w:val="32"/>
          <w:highlight w:val="none"/>
          <w:u w:val="none"/>
        </w:rPr>
        <w:t>产生量基数，</w:t>
      </w:r>
      <w:r>
        <w:rPr>
          <w:rFonts w:hint="default" w:ascii="Times New Roman" w:hAnsi="Times New Roman" w:eastAsia="仿宋_GB2312" w:cs="Times New Roman"/>
          <w:color w:val="auto"/>
          <w:sz w:val="32"/>
          <w:szCs w:val="32"/>
          <w:highlight w:val="none"/>
          <w:u w:val="none"/>
          <w:lang w:eastAsia="zh-CN"/>
        </w:rPr>
        <w:t>吨</w:t>
      </w:r>
      <w:r>
        <w:rPr>
          <w:rFonts w:hint="default" w:ascii="Times New Roman" w:hAnsi="Times New Roman" w:eastAsia="仿宋_GB2312" w:cs="Times New Roman"/>
          <w:color w:val="auto"/>
          <w:sz w:val="32"/>
          <w:szCs w:val="32"/>
          <w:highlight w:val="none"/>
          <w:u w:val="none"/>
          <w:lang w:val="en-US" w:eastAsia="zh-CN"/>
        </w:rPr>
        <w:t>/万平方米</w:t>
      </w:r>
      <w:r>
        <w:rPr>
          <w:rFonts w:hint="default" w:ascii="Times New Roman" w:hAnsi="Times New Roman" w:eastAsia="仿宋_GB2312" w:cs="Times New Roman"/>
          <w:color w:val="auto"/>
          <w:sz w:val="32"/>
          <w:szCs w:val="32"/>
          <w:highlight w:val="none"/>
          <w:u w:val="none"/>
        </w:rPr>
        <w:t>。</w:t>
      </w:r>
    </w:p>
    <w:p w14:paraId="0A2AA07C">
      <w:pPr>
        <w:pageBreakBefore w:val="0"/>
        <w:kinsoku/>
        <w:wordWrap/>
        <w:topLinePunct w:val="0"/>
        <w:bidi w:val="0"/>
        <w:spacing w:beforeAutospacing="0" w:afterAutospacing="0" w:line="560" w:lineRule="exact"/>
        <w:ind w:left="0" w:leftChars="0"/>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（2）《建筑垃圾处理技术标准》中工程泥浆的产量是依据现场地形、设计资料及施工工艺等综合确定，由于</w:t>
      </w:r>
      <w:r>
        <w:rPr>
          <w:rFonts w:hint="eastAsia" w:eastAsia="仿宋_GB2312" w:cs="Times New Roman"/>
          <w:sz w:val="32"/>
          <w:szCs w:val="32"/>
          <w:highlight w:val="none"/>
          <w:lang w:val="en-US" w:eastAsia="zh-CN"/>
        </w:rPr>
        <w:t>缺少</w:t>
      </w:r>
      <w:r>
        <w:rPr>
          <w:rFonts w:hint="default" w:ascii="Times New Roman" w:hAnsi="Times New Roman" w:eastAsia="仿宋_GB2312" w:cs="Times New Roman"/>
          <w:bCs/>
          <w:color w:val="auto"/>
          <w:sz w:val="32"/>
          <w:szCs w:val="32"/>
          <w:highlight w:val="none"/>
          <w:u w:val="none"/>
          <w:lang w:val="en-US" w:eastAsia="zh-CN"/>
        </w:rPr>
        <w:t>融安县</w:t>
      </w:r>
      <w:r>
        <w:rPr>
          <w:rFonts w:hint="default" w:ascii="Times New Roman" w:hAnsi="Times New Roman" w:eastAsia="仿宋_GB2312" w:cs="Times New Roman"/>
          <w:sz w:val="32"/>
          <w:szCs w:val="32"/>
          <w:highlight w:val="none"/>
          <w:lang w:val="en-US" w:eastAsia="zh-CN"/>
        </w:rPr>
        <w:t>工程泥浆统计数据，结合相关城镇工程泥浆的产生数据，工程泥浆与房屋建筑施工面积成正相关关系，预测每新增1万平方米产生约 0.03万吨的工程泥浆计算指标。预测近期2024</w:t>
      </w:r>
      <w:r>
        <w:rPr>
          <w:rFonts w:hint="eastAsia" w:ascii="Times New Roman" w:hAnsi="Times New Roman" w:eastAsia="仿宋_GB2312" w:cs="Times New Roman"/>
          <w:sz w:val="32"/>
          <w:szCs w:val="32"/>
          <w:highlight w:val="none"/>
          <w:lang w:val="en-US" w:eastAsia="zh-CN"/>
        </w:rPr>
        <w:t>—</w:t>
      </w:r>
      <w:r>
        <w:rPr>
          <w:rFonts w:hint="default" w:ascii="Times New Roman" w:hAnsi="Times New Roman" w:eastAsia="仿宋_GB2312" w:cs="Times New Roman"/>
          <w:sz w:val="32"/>
          <w:szCs w:val="32"/>
          <w:highlight w:val="none"/>
          <w:lang w:val="en-US" w:eastAsia="zh-CN"/>
        </w:rPr>
        <w:t>2030年工程泥浆产生量约为6.71万吨，预测远期2031</w:t>
      </w:r>
      <w:r>
        <w:rPr>
          <w:rFonts w:hint="eastAsia" w:ascii="Times New Roman" w:hAnsi="Times New Roman" w:eastAsia="仿宋_GB2312" w:cs="Times New Roman"/>
          <w:sz w:val="32"/>
          <w:szCs w:val="32"/>
          <w:highlight w:val="none"/>
          <w:lang w:val="en-US" w:eastAsia="zh-CN"/>
        </w:rPr>
        <w:t>—</w:t>
      </w:r>
      <w:r>
        <w:rPr>
          <w:rFonts w:hint="default" w:ascii="Times New Roman" w:hAnsi="Times New Roman" w:eastAsia="仿宋_GB2312" w:cs="Times New Roman"/>
          <w:sz w:val="32"/>
          <w:szCs w:val="32"/>
          <w:highlight w:val="none"/>
          <w:lang w:val="en-US" w:eastAsia="zh-CN"/>
        </w:rPr>
        <w:t>2035年工程泥浆产生量约3.51万吨。</w:t>
      </w:r>
    </w:p>
    <w:p w14:paraId="042A4C2C">
      <w:pPr>
        <w:pageBreakBefore w:val="0"/>
        <w:kinsoku/>
        <w:wordWrap/>
        <w:topLinePunct w:val="0"/>
        <w:bidi w:val="0"/>
        <w:spacing w:beforeAutospacing="0" w:afterAutospacing="0" w:line="560" w:lineRule="exact"/>
        <w:ind w:left="0" w:leftChars="0"/>
        <w:jc w:val="center"/>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表：</w:t>
      </w:r>
      <w:r>
        <w:rPr>
          <w:rFonts w:hint="default" w:ascii="Times New Roman" w:hAnsi="Times New Roman" w:eastAsia="仿宋_GB2312" w:cs="Times New Roman"/>
          <w:bCs/>
          <w:color w:val="auto"/>
          <w:sz w:val="32"/>
          <w:szCs w:val="32"/>
          <w:highlight w:val="none"/>
          <w:u w:val="none"/>
          <w:lang w:val="en-US" w:eastAsia="zh-CN"/>
        </w:rPr>
        <w:t>融安县</w:t>
      </w:r>
      <w:r>
        <w:rPr>
          <w:rFonts w:hint="default" w:ascii="Times New Roman" w:hAnsi="Times New Roman" w:eastAsia="仿宋_GB2312" w:cs="Times New Roman"/>
          <w:sz w:val="32"/>
          <w:szCs w:val="32"/>
          <w:highlight w:val="none"/>
          <w:lang w:val="en-US" w:eastAsia="zh-CN"/>
        </w:rPr>
        <w:t>城区工程泥浆预测量</w:t>
      </w:r>
    </w:p>
    <w:tbl>
      <w:tblPr>
        <w:tblStyle w:val="16"/>
        <w:tblW w:w="927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2608"/>
        <w:gridCol w:w="2882"/>
        <w:gridCol w:w="3780"/>
      </w:tblGrid>
      <w:tr w14:paraId="5126BA2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778" w:hRule="atLeast"/>
        </w:trPr>
        <w:tc>
          <w:tcPr>
            <w:tcW w:w="2608" w:type="dxa"/>
            <w:tcBorders>
              <w:top w:val="single" w:color="000000" w:sz="8" w:space="0"/>
              <w:left w:val="single" w:color="000000" w:sz="8" w:space="0"/>
              <w:bottom w:val="single" w:color="000000" w:sz="8" w:space="0"/>
              <w:right w:val="single" w:color="auto" w:sz="4" w:space="0"/>
            </w:tcBorders>
            <w:shd w:val="clear" w:color="auto" w:fill="auto"/>
            <w:tcMar>
              <w:top w:w="15" w:type="dxa"/>
              <w:left w:w="15" w:type="dxa"/>
              <w:right w:w="15" w:type="dxa"/>
            </w:tcMar>
            <w:vAlign w:val="top"/>
          </w:tcPr>
          <w:p w14:paraId="5DEC18E8">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黑体" w:hAnsi="黑体" w:eastAsia="黑体" w:cs="黑体"/>
                <w:sz w:val="24"/>
                <w:szCs w:val="24"/>
                <w:highlight w:val="none"/>
                <w:vertAlign w:val="baseline"/>
                <w:lang w:val="en-US" w:eastAsia="zh-CN"/>
              </w:rPr>
            </w:pPr>
            <w:r>
              <w:rPr>
                <w:rFonts w:hint="eastAsia" w:ascii="黑体" w:hAnsi="黑体" w:eastAsia="黑体" w:cs="黑体"/>
                <w:sz w:val="24"/>
                <w:szCs w:val="24"/>
                <w:highlight w:val="none"/>
                <w:vertAlign w:val="baseline"/>
                <w:lang w:val="en-US" w:eastAsia="zh-CN"/>
              </w:rPr>
              <w:t>年份</w:t>
            </w:r>
          </w:p>
        </w:tc>
        <w:tc>
          <w:tcPr>
            <w:tcW w:w="2882" w:type="dxa"/>
            <w:tcBorders>
              <w:top w:val="single" w:color="auto" w:sz="4" w:space="0"/>
              <w:left w:val="single" w:color="auto" w:sz="4" w:space="0"/>
              <w:bottom w:val="single" w:color="auto" w:sz="4" w:space="0"/>
              <w:right w:val="single" w:color="000000" w:sz="8" w:space="0"/>
            </w:tcBorders>
            <w:shd w:val="clear" w:color="auto" w:fill="auto"/>
            <w:tcMar>
              <w:top w:w="15" w:type="dxa"/>
              <w:left w:w="15" w:type="dxa"/>
              <w:right w:w="15" w:type="dxa"/>
            </w:tcMar>
            <w:vAlign w:val="top"/>
          </w:tcPr>
          <w:p w14:paraId="3D453539">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黑体" w:hAnsi="黑体" w:eastAsia="黑体" w:cs="黑体"/>
                <w:sz w:val="24"/>
                <w:szCs w:val="24"/>
                <w:highlight w:val="none"/>
                <w:vertAlign w:val="baseline"/>
                <w:lang w:val="en-US" w:eastAsia="zh-CN"/>
              </w:rPr>
            </w:pPr>
            <w:r>
              <w:rPr>
                <w:rFonts w:hint="eastAsia" w:ascii="黑体" w:hAnsi="黑体" w:eastAsia="黑体" w:cs="黑体"/>
                <w:sz w:val="24"/>
                <w:szCs w:val="24"/>
                <w:highlight w:val="none"/>
                <w:vertAlign w:val="baseline"/>
                <w:lang w:val="en-US" w:eastAsia="zh-CN"/>
              </w:rPr>
              <w:t>建筑施工面积</w:t>
            </w:r>
          </w:p>
          <w:p w14:paraId="4400C8F7">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黑体" w:hAnsi="黑体" w:eastAsia="黑体" w:cs="黑体"/>
                <w:sz w:val="24"/>
                <w:szCs w:val="24"/>
                <w:highlight w:val="none"/>
                <w:vertAlign w:val="baseline"/>
                <w:lang w:val="en-US" w:eastAsia="zh-CN"/>
              </w:rPr>
            </w:pPr>
            <w:r>
              <w:rPr>
                <w:rFonts w:hint="eastAsia" w:ascii="黑体" w:hAnsi="黑体" w:eastAsia="黑体" w:cs="黑体"/>
                <w:sz w:val="24"/>
                <w:szCs w:val="24"/>
                <w:highlight w:val="none"/>
                <w:vertAlign w:val="baseline"/>
                <w:lang w:val="en-US" w:eastAsia="zh-CN"/>
              </w:rPr>
              <w:t>（万平方米/年）</w:t>
            </w:r>
          </w:p>
        </w:tc>
        <w:tc>
          <w:tcPr>
            <w:tcW w:w="3780" w:type="dxa"/>
            <w:tcBorders>
              <w:top w:val="single" w:color="auto" w:sz="4" w:space="0"/>
              <w:left w:val="single" w:color="000000" w:sz="8" w:space="0"/>
              <w:bottom w:val="single" w:color="auto" w:sz="4" w:space="0"/>
              <w:right w:val="single" w:color="auto" w:sz="4" w:space="0"/>
            </w:tcBorders>
            <w:shd w:val="clear" w:color="auto" w:fill="auto"/>
            <w:tcMar>
              <w:top w:w="15" w:type="dxa"/>
              <w:left w:w="15" w:type="dxa"/>
              <w:right w:w="15" w:type="dxa"/>
            </w:tcMar>
            <w:vAlign w:val="top"/>
          </w:tcPr>
          <w:p w14:paraId="32E449BA">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黑体" w:hAnsi="黑体" w:eastAsia="黑体" w:cs="黑体"/>
                <w:sz w:val="24"/>
                <w:szCs w:val="24"/>
                <w:highlight w:val="none"/>
                <w:vertAlign w:val="baseline"/>
                <w:lang w:val="en-US" w:eastAsia="zh-CN"/>
              </w:rPr>
            </w:pPr>
            <w:r>
              <w:rPr>
                <w:rFonts w:hint="eastAsia" w:ascii="黑体" w:hAnsi="黑体" w:eastAsia="黑体" w:cs="黑体"/>
                <w:sz w:val="24"/>
                <w:szCs w:val="24"/>
                <w:highlight w:val="none"/>
                <w:vertAlign w:val="baseline"/>
                <w:lang w:val="en-US" w:eastAsia="zh-CN"/>
              </w:rPr>
              <w:t>工程泥浆</w:t>
            </w:r>
          </w:p>
          <w:p w14:paraId="52E4E95D">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黑体" w:hAnsi="黑体" w:eastAsia="黑体" w:cs="黑体"/>
                <w:sz w:val="24"/>
                <w:szCs w:val="24"/>
                <w:highlight w:val="none"/>
                <w:vertAlign w:val="baseline"/>
                <w:lang w:val="en-US" w:eastAsia="zh-CN"/>
              </w:rPr>
            </w:pPr>
            <w:r>
              <w:rPr>
                <w:rFonts w:hint="eastAsia" w:ascii="黑体" w:hAnsi="黑体" w:eastAsia="黑体" w:cs="黑体"/>
                <w:sz w:val="24"/>
                <w:szCs w:val="24"/>
                <w:highlight w:val="none"/>
                <w:vertAlign w:val="baseline"/>
                <w:lang w:val="en-US" w:eastAsia="zh-CN"/>
              </w:rPr>
              <w:t>（万吨/年）</w:t>
            </w:r>
          </w:p>
        </w:tc>
      </w:tr>
      <w:tr w14:paraId="2B94D0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5" w:hRule="atLeast"/>
        </w:trPr>
        <w:tc>
          <w:tcPr>
            <w:tcW w:w="2608"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2051715C">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sz w:val="24"/>
                <w:szCs w:val="24"/>
                <w:highlight w:val="none"/>
                <w:vertAlign w:val="baseline"/>
                <w:lang w:val="en-US" w:eastAsia="zh-CN"/>
              </w:rPr>
            </w:pPr>
            <w:r>
              <w:rPr>
                <w:rFonts w:hint="default" w:ascii="Times New Roman" w:hAnsi="Times New Roman" w:eastAsia="华文仿宋" w:cs="Times New Roman"/>
                <w:sz w:val="24"/>
                <w:szCs w:val="24"/>
                <w:highlight w:val="none"/>
                <w:vertAlign w:val="baseline"/>
                <w:lang w:val="en-US" w:eastAsia="zh-CN"/>
              </w:rPr>
              <w:t>2024</w:t>
            </w:r>
          </w:p>
        </w:tc>
        <w:tc>
          <w:tcPr>
            <w:tcW w:w="2882" w:type="dxa"/>
            <w:tcBorders>
              <w:top w:val="single" w:color="auto" w:sz="4" w:space="0"/>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623E3586">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sz w:val="24"/>
                <w:szCs w:val="24"/>
                <w:highlight w:val="none"/>
                <w:vertAlign w:val="baseline"/>
                <w:lang w:val="en-US" w:eastAsia="zh-CN"/>
              </w:rPr>
            </w:pPr>
            <w:r>
              <w:rPr>
                <w:rFonts w:hint="default" w:ascii="Times New Roman" w:hAnsi="Times New Roman" w:eastAsia="华文仿宋" w:cs="Times New Roman"/>
                <w:sz w:val="24"/>
                <w:szCs w:val="24"/>
                <w:highlight w:val="none"/>
                <w:vertAlign w:val="baseline"/>
                <w:lang w:val="en-US" w:eastAsia="zh-CN"/>
              </w:rPr>
              <w:t xml:space="preserve">37 </w:t>
            </w:r>
          </w:p>
        </w:tc>
        <w:tc>
          <w:tcPr>
            <w:tcW w:w="3780" w:type="dxa"/>
            <w:tcBorders>
              <w:top w:val="single" w:color="auto" w:sz="4" w:space="0"/>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03DE3255">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sz w:val="24"/>
                <w:szCs w:val="24"/>
                <w:highlight w:val="none"/>
                <w:vertAlign w:val="baseline"/>
                <w:lang w:val="en-US" w:eastAsia="zh-CN"/>
              </w:rPr>
            </w:pPr>
            <w:r>
              <w:rPr>
                <w:rFonts w:hint="default" w:ascii="Times New Roman" w:hAnsi="Times New Roman" w:eastAsia="华文仿宋" w:cs="Times New Roman"/>
                <w:sz w:val="24"/>
                <w:szCs w:val="24"/>
                <w:highlight w:val="none"/>
                <w:vertAlign w:val="baseline"/>
                <w:lang w:val="en-US" w:eastAsia="zh-CN"/>
              </w:rPr>
              <w:t xml:space="preserve">1.11 </w:t>
            </w:r>
          </w:p>
        </w:tc>
      </w:tr>
      <w:tr w14:paraId="2DD3A9D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90" w:hRule="atLeast"/>
        </w:trPr>
        <w:tc>
          <w:tcPr>
            <w:tcW w:w="2608"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3DC06B61">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sz w:val="24"/>
                <w:szCs w:val="24"/>
                <w:highlight w:val="none"/>
                <w:vertAlign w:val="baseline"/>
                <w:lang w:val="en-US" w:eastAsia="zh-CN"/>
              </w:rPr>
            </w:pPr>
            <w:r>
              <w:rPr>
                <w:rFonts w:hint="default" w:ascii="Times New Roman" w:hAnsi="Times New Roman" w:eastAsia="华文仿宋" w:cs="Times New Roman"/>
                <w:sz w:val="24"/>
                <w:szCs w:val="24"/>
                <w:highlight w:val="none"/>
                <w:vertAlign w:val="baseline"/>
                <w:lang w:val="en-US" w:eastAsia="zh-CN"/>
              </w:rPr>
              <w:t>2025</w:t>
            </w:r>
          </w:p>
        </w:tc>
        <w:tc>
          <w:tcPr>
            <w:tcW w:w="2882"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33DDA3FF">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sz w:val="24"/>
                <w:szCs w:val="24"/>
                <w:highlight w:val="none"/>
                <w:vertAlign w:val="baseline"/>
                <w:lang w:val="en-US" w:eastAsia="zh-CN"/>
              </w:rPr>
            </w:pPr>
            <w:r>
              <w:rPr>
                <w:rFonts w:hint="default" w:ascii="Times New Roman" w:hAnsi="Times New Roman" w:eastAsia="华文仿宋" w:cs="Times New Roman"/>
                <w:sz w:val="24"/>
                <w:szCs w:val="24"/>
                <w:highlight w:val="none"/>
                <w:vertAlign w:val="baseline"/>
                <w:lang w:val="en-US" w:eastAsia="zh-CN"/>
              </w:rPr>
              <w:t xml:space="preserve">35 </w:t>
            </w:r>
          </w:p>
        </w:tc>
        <w:tc>
          <w:tcPr>
            <w:tcW w:w="3780"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45388BAD">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sz w:val="24"/>
                <w:szCs w:val="24"/>
                <w:highlight w:val="none"/>
                <w:vertAlign w:val="baseline"/>
                <w:lang w:val="en-US" w:eastAsia="zh-CN"/>
              </w:rPr>
            </w:pPr>
            <w:r>
              <w:rPr>
                <w:rFonts w:hint="default" w:ascii="Times New Roman" w:hAnsi="Times New Roman" w:eastAsia="华文仿宋" w:cs="Times New Roman"/>
                <w:sz w:val="24"/>
                <w:szCs w:val="24"/>
                <w:highlight w:val="none"/>
                <w:vertAlign w:val="baseline"/>
                <w:lang w:val="en-US" w:eastAsia="zh-CN"/>
              </w:rPr>
              <w:t xml:space="preserve">1.06 </w:t>
            </w:r>
          </w:p>
        </w:tc>
      </w:tr>
      <w:tr w14:paraId="7F13CBC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90" w:hRule="atLeast"/>
        </w:trPr>
        <w:tc>
          <w:tcPr>
            <w:tcW w:w="2608"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63C7FB95">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sz w:val="24"/>
                <w:szCs w:val="24"/>
                <w:highlight w:val="none"/>
                <w:vertAlign w:val="baseline"/>
                <w:lang w:val="en-US" w:eastAsia="zh-CN"/>
              </w:rPr>
            </w:pPr>
            <w:r>
              <w:rPr>
                <w:rFonts w:hint="default" w:ascii="Times New Roman" w:hAnsi="Times New Roman" w:eastAsia="华文仿宋" w:cs="Times New Roman"/>
                <w:sz w:val="24"/>
                <w:szCs w:val="24"/>
                <w:highlight w:val="none"/>
                <w:vertAlign w:val="baseline"/>
                <w:lang w:val="en-US" w:eastAsia="zh-CN"/>
              </w:rPr>
              <w:t>2026</w:t>
            </w:r>
          </w:p>
        </w:tc>
        <w:tc>
          <w:tcPr>
            <w:tcW w:w="2882"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3AC54D43">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sz w:val="24"/>
                <w:szCs w:val="24"/>
                <w:highlight w:val="none"/>
                <w:vertAlign w:val="baseline"/>
                <w:lang w:val="en-US" w:eastAsia="zh-CN"/>
              </w:rPr>
            </w:pPr>
            <w:r>
              <w:rPr>
                <w:rFonts w:hint="default" w:ascii="Times New Roman" w:hAnsi="Times New Roman" w:eastAsia="华文仿宋" w:cs="Times New Roman"/>
                <w:sz w:val="24"/>
                <w:szCs w:val="24"/>
                <w:highlight w:val="none"/>
                <w:vertAlign w:val="baseline"/>
                <w:lang w:val="en-US" w:eastAsia="zh-CN"/>
              </w:rPr>
              <w:t xml:space="preserve">33 </w:t>
            </w:r>
          </w:p>
        </w:tc>
        <w:tc>
          <w:tcPr>
            <w:tcW w:w="3780"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1D8BE3F6">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sz w:val="24"/>
                <w:szCs w:val="24"/>
                <w:highlight w:val="none"/>
                <w:vertAlign w:val="baseline"/>
                <w:lang w:val="en-US" w:eastAsia="zh-CN"/>
              </w:rPr>
            </w:pPr>
            <w:r>
              <w:rPr>
                <w:rFonts w:hint="default" w:ascii="Times New Roman" w:hAnsi="Times New Roman" w:eastAsia="华文仿宋" w:cs="Times New Roman"/>
                <w:sz w:val="24"/>
                <w:szCs w:val="24"/>
                <w:highlight w:val="none"/>
                <w:vertAlign w:val="baseline"/>
                <w:lang w:val="en-US" w:eastAsia="zh-CN"/>
              </w:rPr>
              <w:t xml:space="preserve">1.00 </w:t>
            </w:r>
          </w:p>
        </w:tc>
      </w:tr>
      <w:tr w14:paraId="62764CE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90" w:hRule="atLeast"/>
        </w:trPr>
        <w:tc>
          <w:tcPr>
            <w:tcW w:w="2608"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6EFBEFF1">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sz w:val="24"/>
                <w:szCs w:val="24"/>
                <w:highlight w:val="none"/>
                <w:vertAlign w:val="baseline"/>
                <w:lang w:val="en-US" w:eastAsia="zh-CN"/>
              </w:rPr>
            </w:pPr>
            <w:r>
              <w:rPr>
                <w:rFonts w:hint="default" w:ascii="Times New Roman" w:hAnsi="Times New Roman" w:eastAsia="华文仿宋" w:cs="Times New Roman"/>
                <w:sz w:val="24"/>
                <w:szCs w:val="24"/>
                <w:highlight w:val="none"/>
                <w:vertAlign w:val="baseline"/>
                <w:lang w:val="en-US" w:eastAsia="zh-CN"/>
              </w:rPr>
              <w:t>2027</w:t>
            </w:r>
          </w:p>
        </w:tc>
        <w:tc>
          <w:tcPr>
            <w:tcW w:w="2882"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4D1C9317">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sz w:val="24"/>
                <w:szCs w:val="24"/>
                <w:highlight w:val="none"/>
                <w:vertAlign w:val="baseline"/>
                <w:lang w:val="en-US" w:eastAsia="zh-CN"/>
              </w:rPr>
            </w:pPr>
            <w:r>
              <w:rPr>
                <w:rFonts w:hint="default" w:ascii="Times New Roman" w:hAnsi="Times New Roman" w:eastAsia="华文仿宋" w:cs="Times New Roman"/>
                <w:sz w:val="24"/>
                <w:szCs w:val="24"/>
                <w:highlight w:val="none"/>
                <w:vertAlign w:val="baseline"/>
                <w:lang w:val="en-US" w:eastAsia="zh-CN"/>
              </w:rPr>
              <w:t xml:space="preserve">32 </w:t>
            </w:r>
          </w:p>
        </w:tc>
        <w:tc>
          <w:tcPr>
            <w:tcW w:w="3780"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73626739">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sz w:val="24"/>
                <w:szCs w:val="24"/>
                <w:highlight w:val="none"/>
                <w:vertAlign w:val="baseline"/>
                <w:lang w:val="en-US" w:eastAsia="zh-CN"/>
              </w:rPr>
            </w:pPr>
            <w:r>
              <w:rPr>
                <w:rFonts w:hint="default" w:ascii="Times New Roman" w:hAnsi="Times New Roman" w:eastAsia="华文仿宋" w:cs="Times New Roman"/>
                <w:sz w:val="24"/>
                <w:szCs w:val="24"/>
                <w:highlight w:val="none"/>
                <w:vertAlign w:val="baseline"/>
                <w:lang w:val="en-US" w:eastAsia="zh-CN"/>
              </w:rPr>
              <w:t xml:space="preserve">0.95 </w:t>
            </w:r>
          </w:p>
        </w:tc>
      </w:tr>
      <w:tr w14:paraId="3085B9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0" w:hRule="atLeast"/>
        </w:trPr>
        <w:tc>
          <w:tcPr>
            <w:tcW w:w="2608"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1FE9E736">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sz w:val="24"/>
                <w:szCs w:val="24"/>
                <w:highlight w:val="none"/>
                <w:vertAlign w:val="baseline"/>
                <w:lang w:val="en-US" w:eastAsia="zh-CN"/>
              </w:rPr>
            </w:pPr>
            <w:r>
              <w:rPr>
                <w:rFonts w:hint="default" w:ascii="Times New Roman" w:hAnsi="Times New Roman" w:eastAsia="华文仿宋" w:cs="Times New Roman"/>
                <w:sz w:val="24"/>
                <w:szCs w:val="24"/>
                <w:highlight w:val="none"/>
                <w:vertAlign w:val="baseline"/>
                <w:lang w:val="en-US" w:eastAsia="zh-CN"/>
              </w:rPr>
              <w:t>2028</w:t>
            </w:r>
          </w:p>
        </w:tc>
        <w:tc>
          <w:tcPr>
            <w:tcW w:w="2882"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0B7B1B9C">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sz w:val="24"/>
                <w:szCs w:val="24"/>
                <w:highlight w:val="none"/>
                <w:vertAlign w:val="baseline"/>
                <w:lang w:val="en-US" w:eastAsia="zh-CN"/>
              </w:rPr>
            </w:pPr>
            <w:r>
              <w:rPr>
                <w:rFonts w:hint="default" w:ascii="Times New Roman" w:hAnsi="Times New Roman" w:eastAsia="华文仿宋" w:cs="Times New Roman"/>
                <w:sz w:val="24"/>
                <w:szCs w:val="24"/>
                <w:highlight w:val="none"/>
                <w:vertAlign w:val="baseline"/>
                <w:lang w:val="en-US" w:eastAsia="zh-CN"/>
              </w:rPr>
              <w:t xml:space="preserve">30 </w:t>
            </w:r>
          </w:p>
        </w:tc>
        <w:tc>
          <w:tcPr>
            <w:tcW w:w="3780"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6F2AB305">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sz w:val="24"/>
                <w:szCs w:val="24"/>
                <w:highlight w:val="none"/>
                <w:vertAlign w:val="baseline"/>
                <w:lang w:val="en-US" w:eastAsia="zh-CN"/>
              </w:rPr>
            </w:pPr>
            <w:r>
              <w:rPr>
                <w:rFonts w:hint="default" w:ascii="Times New Roman" w:hAnsi="Times New Roman" w:eastAsia="华文仿宋" w:cs="Times New Roman"/>
                <w:sz w:val="24"/>
                <w:szCs w:val="24"/>
                <w:highlight w:val="none"/>
                <w:vertAlign w:val="baseline"/>
                <w:lang w:val="en-US" w:eastAsia="zh-CN"/>
              </w:rPr>
              <w:t xml:space="preserve">0.91 </w:t>
            </w:r>
          </w:p>
        </w:tc>
      </w:tr>
      <w:tr w14:paraId="60B7235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90" w:hRule="atLeast"/>
        </w:trPr>
        <w:tc>
          <w:tcPr>
            <w:tcW w:w="2608"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0F1FCD0B">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sz w:val="24"/>
                <w:szCs w:val="24"/>
                <w:highlight w:val="none"/>
                <w:vertAlign w:val="baseline"/>
                <w:lang w:val="en-US" w:eastAsia="zh-CN"/>
              </w:rPr>
            </w:pPr>
            <w:r>
              <w:rPr>
                <w:rFonts w:hint="default" w:ascii="Times New Roman" w:hAnsi="Times New Roman" w:eastAsia="华文仿宋" w:cs="Times New Roman"/>
                <w:sz w:val="24"/>
                <w:szCs w:val="24"/>
                <w:highlight w:val="none"/>
                <w:vertAlign w:val="baseline"/>
                <w:lang w:val="en-US" w:eastAsia="zh-CN"/>
              </w:rPr>
              <w:t>2029</w:t>
            </w:r>
          </w:p>
        </w:tc>
        <w:tc>
          <w:tcPr>
            <w:tcW w:w="2882"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59802A3A">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sz w:val="24"/>
                <w:szCs w:val="24"/>
                <w:highlight w:val="none"/>
                <w:vertAlign w:val="baseline"/>
                <w:lang w:val="en-US" w:eastAsia="zh-CN"/>
              </w:rPr>
            </w:pPr>
            <w:r>
              <w:rPr>
                <w:rFonts w:hint="default" w:ascii="Times New Roman" w:hAnsi="Times New Roman" w:eastAsia="华文仿宋" w:cs="Times New Roman"/>
                <w:sz w:val="24"/>
                <w:szCs w:val="24"/>
                <w:highlight w:val="none"/>
                <w:vertAlign w:val="baseline"/>
                <w:lang w:val="en-US" w:eastAsia="zh-CN"/>
              </w:rPr>
              <w:t xml:space="preserve">29 </w:t>
            </w:r>
          </w:p>
        </w:tc>
        <w:tc>
          <w:tcPr>
            <w:tcW w:w="3780"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099951E4">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sz w:val="24"/>
                <w:szCs w:val="24"/>
                <w:highlight w:val="none"/>
                <w:vertAlign w:val="baseline"/>
                <w:lang w:val="en-US" w:eastAsia="zh-CN"/>
              </w:rPr>
            </w:pPr>
            <w:r>
              <w:rPr>
                <w:rFonts w:hint="default" w:ascii="Times New Roman" w:hAnsi="Times New Roman" w:eastAsia="华文仿宋" w:cs="Times New Roman"/>
                <w:sz w:val="24"/>
                <w:szCs w:val="24"/>
                <w:highlight w:val="none"/>
                <w:vertAlign w:val="baseline"/>
                <w:lang w:val="en-US" w:eastAsia="zh-CN"/>
              </w:rPr>
              <w:t xml:space="preserve">0.86 </w:t>
            </w:r>
          </w:p>
        </w:tc>
      </w:tr>
      <w:tr w14:paraId="74A592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0" w:hRule="atLeast"/>
        </w:trPr>
        <w:tc>
          <w:tcPr>
            <w:tcW w:w="2608"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5AE8D776">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sz w:val="24"/>
                <w:szCs w:val="24"/>
                <w:highlight w:val="none"/>
                <w:vertAlign w:val="baseline"/>
                <w:lang w:val="en-US" w:eastAsia="zh-CN"/>
              </w:rPr>
            </w:pPr>
            <w:r>
              <w:rPr>
                <w:rFonts w:hint="default" w:ascii="Times New Roman" w:hAnsi="Times New Roman" w:eastAsia="华文仿宋" w:cs="Times New Roman"/>
                <w:sz w:val="24"/>
                <w:szCs w:val="24"/>
                <w:highlight w:val="none"/>
                <w:vertAlign w:val="baseline"/>
                <w:lang w:val="en-US" w:eastAsia="zh-CN"/>
              </w:rPr>
              <w:t>2030</w:t>
            </w:r>
          </w:p>
        </w:tc>
        <w:tc>
          <w:tcPr>
            <w:tcW w:w="2882"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4F1A294B">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sz w:val="24"/>
                <w:szCs w:val="24"/>
                <w:highlight w:val="none"/>
                <w:vertAlign w:val="baseline"/>
                <w:lang w:val="en-US" w:eastAsia="zh-CN"/>
              </w:rPr>
            </w:pPr>
            <w:r>
              <w:rPr>
                <w:rFonts w:hint="default" w:ascii="Times New Roman" w:hAnsi="Times New Roman" w:eastAsia="华文仿宋" w:cs="Times New Roman"/>
                <w:sz w:val="24"/>
                <w:szCs w:val="24"/>
                <w:highlight w:val="none"/>
                <w:vertAlign w:val="baseline"/>
                <w:lang w:val="en-US" w:eastAsia="zh-CN"/>
              </w:rPr>
              <w:t xml:space="preserve">27 </w:t>
            </w:r>
          </w:p>
        </w:tc>
        <w:tc>
          <w:tcPr>
            <w:tcW w:w="3780"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7017CE29">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sz w:val="24"/>
                <w:szCs w:val="24"/>
                <w:highlight w:val="none"/>
                <w:vertAlign w:val="baseline"/>
                <w:lang w:val="en-US" w:eastAsia="zh-CN"/>
              </w:rPr>
            </w:pPr>
            <w:r>
              <w:rPr>
                <w:rFonts w:hint="default" w:ascii="Times New Roman" w:hAnsi="Times New Roman" w:eastAsia="华文仿宋" w:cs="Times New Roman"/>
                <w:sz w:val="24"/>
                <w:szCs w:val="24"/>
                <w:highlight w:val="none"/>
                <w:vertAlign w:val="baseline"/>
                <w:lang w:val="en-US" w:eastAsia="zh-CN"/>
              </w:rPr>
              <w:t xml:space="preserve">0.82 </w:t>
            </w:r>
          </w:p>
        </w:tc>
      </w:tr>
      <w:tr w14:paraId="6083701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90" w:hRule="atLeast"/>
        </w:trPr>
        <w:tc>
          <w:tcPr>
            <w:tcW w:w="2608"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5BEB012C">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sz w:val="24"/>
                <w:szCs w:val="24"/>
                <w:highlight w:val="none"/>
                <w:vertAlign w:val="baseline"/>
                <w:lang w:val="en-US" w:eastAsia="zh-CN"/>
              </w:rPr>
            </w:pPr>
            <w:r>
              <w:rPr>
                <w:rFonts w:hint="default" w:ascii="Times New Roman" w:hAnsi="Times New Roman" w:eastAsia="华文仿宋" w:cs="Times New Roman"/>
                <w:sz w:val="24"/>
                <w:szCs w:val="24"/>
                <w:highlight w:val="none"/>
                <w:vertAlign w:val="baseline"/>
                <w:lang w:val="en-US" w:eastAsia="zh-CN"/>
              </w:rPr>
              <w:t>2031</w:t>
            </w:r>
          </w:p>
        </w:tc>
        <w:tc>
          <w:tcPr>
            <w:tcW w:w="2882"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5EE32574">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sz w:val="24"/>
                <w:szCs w:val="24"/>
                <w:highlight w:val="none"/>
                <w:vertAlign w:val="baseline"/>
                <w:lang w:val="en-US" w:eastAsia="zh-CN"/>
              </w:rPr>
            </w:pPr>
            <w:r>
              <w:rPr>
                <w:rFonts w:hint="default" w:ascii="Times New Roman" w:hAnsi="Times New Roman" w:eastAsia="华文仿宋" w:cs="Times New Roman"/>
                <w:sz w:val="24"/>
                <w:szCs w:val="24"/>
                <w:highlight w:val="none"/>
                <w:vertAlign w:val="baseline"/>
                <w:lang w:val="en-US" w:eastAsia="zh-CN"/>
              </w:rPr>
              <w:t xml:space="preserve">26 </w:t>
            </w:r>
          </w:p>
        </w:tc>
        <w:tc>
          <w:tcPr>
            <w:tcW w:w="3780"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2693E1A2">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sz w:val="24"/>
                <w:szCs w:val="24"/>
                <w:highlight w:val="none"/>
                <w:vertAlign w:val="baseline"/>
                <w:lang w:val="en-US" w:eastAsia="zh-CN"/>
              </w:rPr>
            </w:pPr>
            <w:r>
              <w:rPr>
                <w:rFonts w:hint="default" w:ascii="Times New Roman" w:hAnsi="Times New Roman" w:eastAsia="华文仿宋" w:cs="Times New Roman"/>
                <w:sz w:val="24"/>
                <w:szCs w:val="24"/>
                <w:highlight w:val="none"/>
                <w:vertAlign w:val="baseline"/>
                <w:lang w:val="en-US" w:eastAsia="zh-CN"/>
              </w:rPr>
              <w:t xml:space="preserve">0.78 </w:t>
            </w:r>
          </w:p>
        </w:tc>
      </w:tr>
      <w:tr w14:paraId="0A33A3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0" w:hRule="atLeast"/>
        </w:trPr>
        <w:tc>
          <w:tcPr>
            <w:tcW w:w="2608"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2D767515">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sz w:val="24"/>
                <w:szCs w:val="24"/>
                <w:highlight w:val="none"/>
                <w:vertAlign w:val="baseline"/>
                <w:lang w:val="en-US" w:eastAsia="zh-CN"/>
              </w:rPr>
            </w:pPr>
            <w:r>
              <w:rPr>
                <w:rFonts w:hint="default" w:ascii="Times New Roman" w:hAnsi="Times New Roman" w:eastAsia="华文仿宋" w:cs="Times New Roman"/>
                <w:sz w:val="24"/>
                <w:szCs w:val="24"/>
                <w:highlight w:val="none"/>
                <w:vertAlign w:val="baseline"/>
                <w:lang w:val="en-US" w:eastAsia="zh-CN"/>
              </w:rPr>
              <w:t>2032</w:t>
            </w:r>
          </w:p>
        </w:tc>
        <w:tc>
          <w:tcPr>
            <w:tcW w:w="2882"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71931DEF">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sz w:val="24"/>
                <w:szCs w:val="24"/>
                <w:highlight w:val="none"/>
                <w:vertAlign w:val="baseline"/>
                <w:lang w:val="en-US" w:eastAsia="zh-CN"/>
              </w:rPr>
            </w:pPr>
            <w:r>
              <w:rPr>
                <w:rFonts w:hint="default" w:ascii="Times New Roman" w:hAnsi="Times New Roman" w:eastAsia="华文仿宋" w:cs="Times New Roman"/>
                <w:sz w:val="24"/>
                <w:szCs w:val="24"/>
                <w:highlight w:val="none"/>
                <w:vertAlign w:val="baseline"/>
                <w:lang w:val="en-US" w:eastAsia="zh-CN"/>
              </w:rPr>
              <w:t xml:space="preserve">25 </w:t>
            </w:r>
          </w:p>
        </w:tc>
        <w:tc>
          <w:tcPr>
            <w:tcW w:w="3780"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1961C7B3">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sz w:val="24"/>
                <w:szCs w:val="24"/>
                <w:highlight w:val="none"/>
                <w:vertAlign w:val="baseline"/>
                <w:lang w:val="en-US" w:eastAsia="zh-CN"/>
              </w:rPr>
            </w:pPr>
            <w:r>
              <w:rPr>
                <w:rFonts w:hint="default" w:ascii="Times New Roman" w:hAnsi="Times New Roman" w:eastAsia="华文仿宋" w:cs="Times New Roman"/>
                <w:sz w:val="24"/>
                <w:szCs w:val="24"/>
                <w:highlight w:val="none"/>
                <w:vertAlign w:val="baseline"/>
                <w:lang w:val="en-US" w:eastAsia="zh-CN"/>
              </w:rPr>
              <w:t xml:space="preserve">0.74 </w:t>
            </w:r>
          </w:p>
        </w:tc>
      </w:tr>
      <w:tr w14:paraId="604D07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0" w:hRule="atLeast"/>
        </w:trPr>
        <w:tc>
          <w:tcPr>
            <w:tcW w:w="2608"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34A6C6AC">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sz w:val="24"/>
                <w:szCs w:val="24"/>
                <w:highlight w:val="none"/>
                <w:vertAlign w:val="baseline"/>
                <w:lang w:val="en-US" w:eastAsia="zh-CN"/>
              </w:rPr>
            </w:pPr>
            <w:r>
              <w:rPr>
                <w:rFonts w:hint="default" w:ascii="Times New Roman" w:hAnsi="Times New Roman" w:eastAsia="华文仿宋" w:cs="Times New Roman"/>
                <w:sz w:val="24"/>
                <w:szCs w:val="24"/>
                <w:highlight w:val="none"/>
                <w:vertAlign w:val="baseline"/>
                <w:lang w:val="en-US" w:eastAsia="zh-CN"/>
              </w:rPr>
              <w:t>2033</w:t>
            </w:r>
          </w:p>
        </w:tc>
        <w:tc>
          <w:tcPr>
            <w:tcW w:w="2882"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32459EB9">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sz w:val="24"/>
                <w:szCs w:val="24"/>
                <w:highlight w:val="none"/>
                <w:vertAlign w:val="baseline"/>
                <w:lang w:val="en-US" w:eastAsia="zh-CN"/>
              </w:rPr>
            </w:pPr>
            <w:r>
              <w:rPr>
                <w:rFonts w:hint="default" w:ascii="Times New Roman" w:hAnsi="Times New Roman" w:eastAsia="华文仿宋" w:cs="Times New Roman"/>
                <w:sz w:val="24"/>
                <w:szCs w:val="24"/>
                <w:highlight w:val="none"/>
                <w:vertAlign w:val="baseline"/>
                <w:lang w:val="en-US" w:eastAsia="zh-CN"/>
              </w:rPr>
              <w:t xml:space="preserve">23 </w:t>
            </w:r>
          </w:p>
        </w:tc>
        <w:tc>
          <w:tcPr>
            <w:tcW w:w="3780"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2E3AE573">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sz w:val="24"/>
                <w:szCs w:val="24"/>
                <w:highlight w:val="none"/>
                <w:vertAlign w:val="baseline"/>
                <w:lang w:val="en-US" w:eastAsia="zh-CN"/>
              </w:rPr>
            </w:pPr>
            <w:r>
              <w:rPr>
                <w:rFonts w:hint="default" w:ascii="Times New Roman" w:hAnsi="Times New Roman" w:eastAsia="华文仿宋" w:cs="Times New Roman"/>
                <w:sz w:val="24"/>
                <w:szCs w:val="24"/>
                <w:highlight w:val="none"/>
                <w:vertAlign w:val="baseline"/>
                <w:lang w:val="en-US" w:eastAsia="zh-CN"/>
              </w:rPr>
              <w:t xml:space="preserve">0.70 </w:t>
            </w:r>
          </w:p>
        </w:tc>
      </w:tr>
      <w:tr w14:paraId="3E9EE2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0" w:hRule="atLeast"/>
        </w:trPr>
        <w:tc>
          <w:tcPr>
            <w:tcW w:w="2608"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7BBBE067">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sz w:val="24"/>
                <w:szCs w:val="24"/>
                <w:highlight w:val="none"/>
                <w:vertAlign w:val="baseline"/>
                <w:lang w:val="en-US" w:eastAsia="zh-CN"/>
              </w:rPr>
            </w:pPr>
            <w:r>
              <w:rPr>
                <w:rFonts w:hint="default" w:ascii="Times New Roman" w:hAnsi="Times New Roman" w:eastAsia="华文仿宋" w:cs="Times New Roman"/>
                <w:sz w:val="24"/>
                <w:szCs w:val="24"/>
                <w:highlight w:val="none"/>
                <w:vertAlign w:val="baseline"/>
                <w:lang w:val="en-US" w:eastAsia="zh-CN"/>
              </w:rPr>
              <w:t>2034</w:t>
            </w:r>
          </w:p>
        </w:tc>
        <w:tc>
          <w:tcPr>
            <w:tcW w:w="2882"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097B0EA3">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sz w:val="24"/>
                <w:szCs w:val="24"/>
                <w:highlight w:val="none"/>
                <w:vertAlign w:val="baseline"/>
                <w:lang w:val="en-US" w:eastAsia="zh-CN"/>
              </w:rPr>
            </w:pPr>
            <w:r>
              <w:rPr>
                <w:rFonts w:hint="default" w:ascii="Times New Roman" w:hAnsi="Times New Roman" w:eastAsia="华文仿宋" w:cs="Times New Roman"/>
                <w:sz w:val="24"/>
                <w:szCs w:val="24"/>
                <w:highlight w:val="none"/>
                <w:vertAlign w:val="baseline"/>
                <w:lang w:val="en-US" w:eastAsia="zh-CN"/>
              </w:rPr>
              <w:t xml:space="preserve">22 </w:t>
            </w:r>
          </w:p>
        </w:tc>
        <w:tc>
          <w:tcPr>
            <w:tcW w:w="3780"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1502F81C">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sz w:val="24"/>
                <w:szCs w:val="24"/>
                <w:highlight w:val="none"/>
                <w:vertAlign w:val="baseline"/>
                <w:lang w:val="en-US" w:eastAsia="zh-CN"/>
              </w:rPr>
            </w:pPr>
            <w:r>
              <w:rPr>
                <w:rFonts w:hint="default" w:ascii="Times New Roman" w:hAnsi="Times New Roman" w:eastAsia="华文仿宋" w:cs="Times New Roman"/>
                <w:sz w:val="24"/>
                <w:szCs w:val="24"/>
                <w:highlight w:val="none"/>
                <w:vertAlign w:val="baseline"/>
                <w:lang w:val="en-US" w:eastAsia="zh-CN"/>
              </w:rPr>
              <w:t xml:space="preserve">0.67 </w:t>
            </w:r>
          </w:p>
        </w:tc>
      </w:tr>
      <w:tr w14:paraId="7AB99E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30" w:hRule="atLeast"/>
        </w:trPr>
        <w:tc>
          <w:tcPr>
            <w:tcW w:w="2608"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07ED865F">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sz w:val="24"/>
                <w:szCs w:val="24"/>
                <w:highlight w:val="none"/>
                <w:vertAlign w:val="baseline"/>
                <w:lang w:val="en-US" w:eastAsia="zh-CN"/>
              </w:rPr>
            </w:pPr>
            <w:r>
              <w:rPr>
                <w:rFonts w:hint="default" w:ascii="Times New Roman" w:hAnsi="Times New Roman" w:eastAsia="华文仿宋" w:cs="Times New Roman"/>
                <w:sz w:val="24"/>
                <w:szCs w:val="24"/>
                <w:highlight w:val="none"/>
                <w:vertAlign w:val="baseline"/>
                <w:lang w:val="en-US" w:eastAsia="zh-CN"/>
              </w:rPr>
              <w:t>2035</w:t>
            </w:r>
          </w:p>
        </w:tc>
        <w:tc>
          <w:tcPr>
            <w:tcW w:w="2882"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00238B9F">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sz w:val="24"/>
                <w:szCs w:val="24"/>
                <w:highlight w:val="none"/>
                <w:vertAlign w:val="baseline"/>
                <w:lang w:val="en-US" w:eastAsia="zh-CN"/>
              </w:rPr>
            </w:pPr>
            <w:r>
              <w:rPr>
                <w:rFonts w:hint="default" w:ascii="Times New Roman" w:hAnsi="Times New Roman" w:eastAsia="华文仿宋" w:cs="Times New Roman"/>
                <w:sz w:val="24"/>
                <w:szCs w:val="24"/>
                <w:highlight w:val="none"/>
                <w:vertAlign w:val="baseline"/>
                <w:lang w:val="en-US" w:eastAsia="zh-CN"/>
              </w:rPr>
              <w:t xml:space="preserve">21 </w:t>
            </w:r>
          </w:p>
        </w:tc>
        <w:tc>
          <w:tcPr>
            <w:tcW w:w="3780"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6067DB79">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sz w:val="24"/>
                <w:szCs w:val="24"/>
                <w:highlight w:val="none"/>
                <w:vertAlign w:val="baseline"/>
                <w:lang w:val="en-US" w:eastAsia="zh-CN"/>
              </w:rPr>
            </w:pPr>
            <w:r>
              <w:rPr>
                <w:rFonts w:hint="default" w:ascii="Times New Roman" w:hAnsi="Times New Roman" w:eastAsia="华文仿宋" w:cs="Times New Roman"/>
                <w:sz w:val="24"/>
                <w:szCs w:val="24"/>
                <w:highlight w:val="none"/>
                <w:vertAlign w:val="baseline"/>
                <w:lang w:val="en-US" w:eastAsia="zh-CN"/>
              </w:rPr>
              <w:t xml:space="preserve">0.63 </w:t>
            </w:r>
          </w:p>
        </w:tc>
      </w:tr>
      <w:tr w14:paraId="745B56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trPr>
        <w:tc>
          <w:tcPr>
            <w:tcW w:w="2608" w:type="dxa"/>
            <w:tcBorders>
              <w:top w:val="nil"/>
              <w:left w:val="single" w:color="000000" w:sz="8" w:space="0"/>
              <w:bottom w:val="single" w:color="000000" w:sz="8" w:space="0"/>
              <w:right w:val="single" w:color="000000" w:sz="8" w:space="0"/>
            </w:tcBorders>
            <w:shd w:val="clear" w:color="auto" w:fill="auto"/>
            <w:noWrap/>
            <w:tcMar>
              <w:top w:w="15" w:type="dxa"/>
              <w:left w:w="15" w:type="dxa"/>
              <w:right w:w="15" w:type="dxa"/>
            </w:tcMar>
            <w:vAlign w:val="top"/>
          </w:tcPr>
          <w:p w14:paraId="36C9B156">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仿宋_GB2312" w:hAnsi="仿宋_GB2312" w:eastAsia="仿宋_GB2312" w:cs="仿宋_GB2312"/>
                <w:sz w:val="24"/>
                <w:szCs w:val="24"/>
                <w:highlight w:val="none"/>
                <w:vertAlign w:val="baseline"/>
                <w:lang w:val="en-US" w:eastAsia="zh-CN"/>
              </w:rPr>
            </w:pPr>
            <w:r>
              <w:rPr>
                <w:rFonts w:hint="eastAsia" w:ascii="仿宋_GB2312" w:hAnsi="仿宋_GB2312" w:eastAsia="仿宋_GB2312" w:cs="仿宋_GB2312"/>
                <w:sz w:val="24"/>
                <w:szCs w:val="24"/>
                <w:highlight w:val="none"/>
                <w:vertAlign w:val="baseline"/>
                <w:lang w:val="en-US" w:eastAsia="zh-CN"/>
              </w:rPr>
              <w:t>近期</w:t>
            </w:r>
            <w:r>
              <w:rPr>
                <w:rFonts w:hint="default" w:ascii="Times New Roman" w:hAnsi="Times New Roman" w:eastAsia="仿宋_GB2312" w:cs="Times New Roman"/>
                <w:sz w:val="24"/>
                <w:szCs w:val="24"/>
                <w:highlight w:val="none"/>
                <w:vertAlign w:val="baseline"/>
                <w:lang w:val="en-US" w:eastAsia="zh-CN"/>
              </w:rPr>
              <w:t>2024</w:t>
            </w:r>
            <w:r>
              <w:rPr>
                <w:rFonts w:hint="eastAsia" w:ascii="仿宋_GB2312" w:hAnsi="仿宋_GB2312" w:eastAsia="仿宋_GB2312" w:cs="仿宋_GB2312"/>
                <w:sz w:val="24"/>
                <w:szCs w:val="24"/>
                <w:highlight w:val="none"/>
                <w:vertAlign w:val="baseline"/>
                <w:lang w:val="en-US" w:eastAsia="zh-CN"/>
              </w:rPr>
              <w:t>—</w:t>
            </w:r>
            <w:r>
              <w:rPr>
                <w:rFonts w:hint="default" w:ascii="Times New Roman" w:hAnsi="Times New Roman" w:eastAsia="仿宋_GB2312" w:cs="Times New Roman"/>
                <w:sz w:val="24"/>
                <w:szCs w:val="24"/>
                <w:highlight w:val="none"/>
                <w:vertAlign w:val="baseline"/>
                <w:lang w:val="en-US" w:eastAsia="zh-CN"/>
              </w:rPr>
              <w:t>2030</w:t>
            </w:r>
            <w:r>
              <w:rPr>
                <w:rFonts w:hint="eastAsia" w:ascii="仿宋_GB2312" w:hAnsi="仿宋_GB2312" w:eastAsia="仿宋_GB2312" w:cs="仿宋_GB2312"/>
                <w:sz w:val="24"/>
                <w:szCs w:val="24"/>
                <w:highlight w:val="none"/>
                <w:vertAlign w:val="baseline"/>
                <w:lang w:val="en-US" w:eastAsia="zh-CN"/>
              </w:rPr>
              <w:t>(万吨)</w:t>
            </w:r>
          </w:p>
        </w:tc>
        <w:tc>
          <w:tcPr>
            <w:tcW w:w="2882"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60A181C5">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color w:val="FF0000"/>
                <w:sz w:val="24"/>
                <w:szCs w:val="24"/>
                <w:highlight w:val="yellow"/>
                <w:vertAlign w:val="baseline"/>
                <w:lang w:val="en-US" w:eastAsia="zh-CN"/>
              </w:rPr>
            </w:pPr>
          </w:p>
        </w:tc>
        <w:tc>
          <w:tcPr>
            <w:tcW w:w="3780"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1D5851AB">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sz w:val="24"/>
                <w:szCs w:val="24"/>
                <w:highlight w:val="none"/>
                <w:vertAlign w:val="baseline"/>
                <w:lang w:val="en-US" w:eastAsia="zh-CN"/>
              </w:rPr>
            </w:pPr>
            <w:r>
              <w:rPr>
                <w:rFonts w:hint="default" w:ascii="Times New Roman" w:hAnsi="Times New Roman" w:eastAsia="华文仿宋" w:cs="Times New Roman"/>
                <w:sz w:val="24"/>
                <w:szCs w:val="24"/>
                <w:highlight w:val="none"/>
                <w:vertAlign w:val="baseline"/>
                <w:lang w:val="en-US" w:eastAsia="zh-CN"/>
              </w:rPr>
              <w:t>6.71</w:t>
            </w:r>
          </w:p>
        </w:tc>
      </w:tr>
      <w:tr w14:paraId="79EACD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trPr>
        <w:tc>
          <w:tcPr>
            <w:tcW w:w="2608" w:type="dxa"/>
            <w:tcBorders>
              <w:top w:val="nil"/>
              <w:left w:val="single" w:color="000000" w:sz="8" w:space="0"/>
              <w:bottom w:val="single" w:color="000000" w:sz="8" w:space="0"/>
              <w:right w:val="single" w:color="000000" w:sz="8" w:space="0"/>
            </w:tcBorders>
            <w:shd w:val="clear" w:color="auto" w:fill="auto"/>
            <w:noWrap/>
            <w:tcMar>
              <w:top w:w="15" w:type="dxa"/>
              <w:left w:w="15" w:type="dxa"/>
              <w:right w:w="15" w:type="dxa"/>
            </w:tcMar>
            <w:vAlign w:val="top"/>
          </w:tcPr>
          <w:p w14:paraId="36E571B9">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仿宋_GB2312" w:hAnsi="仿宋_GB2312" w:eastAsia="仿宋_GB2312" w:cs="仿宋_GB2312"/>
                <w:sz w:val="24"/>
                <w:szCs w:val="24"/>
                <w:highlight w:val="none"/>
                <w:vertAlign w:val="baseline"/>
                <w:lang w:val="en-US" w:eastAsia="zh-CN"/>
              </w:rPr>
            </w:pPr>
            <w:r>
              <w:rPr>
                <w:rFonts w:hint="eastAsia" w:ascii="仿宋_GB2312" w:hAnsi="仿宋_GB2312" w:eastAsia="仿宋_GB2312" w:cs="仿宋_GB2312"/>
                <w:sz w:val="24"/>
                <w:szCs w:val="24"/>
                <w:highlight w:val="none"/>
                <w:vertAlign w:val="baseline"/>
                <w:lang w:val="en-US" w:eastAsia="zh-CN"/>
              </w:rPr>
              <w:t>远期</w:t>
            </w:r>
            <w:r>
              <w:rPr>
                <w:rFonts w:hint="default" w:ascii="Times New Roman" w:hAnsi="Times New Roman" w:eastAsia="仿宋_GB2312" w:cs="Times New Roman"/>
                <w:sz w:val="24"/>
                <w:szCs w:val="24"/>
                <w:highlight w:val="none"/>
                <w:vertAlign w:val="baseline"/>
                <w:lang w:val="en-US" w:eastAsia="zh-CN"/>
              </w:rPr>
              <w:t>2031</w:t>
            </w:r>
            <w:r>
              <w:rPr>
                <w:rFonts w:hint="eastAsia" w:ascii="仿宋_GB2312" w:hAnsi="仿宋_GB2312" w:eastAsia="仿宋_GB2312" w:cs="仿宋_GB2312"/>
                <w:sz w:val="24"/>
                <w:szCs w:val="24"/>
                <w:highlight w:val="none"/>
                <w:vertAlign w:val="baseline"/>
                <w:lang w:val="en-US" w:eastAsia="zh-CN"/>
              </w:rPr>
              <w:t>—</w:t>
            </w:r>
            <w:r>
              <w:rPr>
                <w:rFonts w:hint="default" w:ascii="Times New Roman" w:hAnsi="Times New Roman" w:eastAsia="仿宋_GB2312" w:cs="Times New Roman"/>
                <w:sz w:val="24"/>
                <w:szCs w:val="24"/>
                <w:highlight w:val="none"/>
                <w:vertAlign w:val="baseline"/>
                <w:lang w:val="en-US" w:eastAsia="zh-CN"/>
              </w:rPr>
              <w:t>2035</w:t>
            </w:r>
            <w:r>
              <w:rPr>
                <w:rFonts w:hint="eastAsia" w:ascii="仿宋_GB2312" w:hAnsi="仿宋_GB2312" w:eastAsia="仿宋_GB2312" w:cs="仿宋_GB2312"/>
                <w:sz w:val="24"/>
                <w:szCs w:val="24"/>
                <w:highlight w:val="none"/>
                <w:vertAlign w:val="baseline"/>
                <w:lang w:val="en-US" w:eastAsia="zh-CN"/>
              </w:rPr>
              <w:t>(万吨)</w:t>
            </w:r>
          </w:p>
        </w:tc>
        <w:tc>
          <w:tcPr>
            <w:tcW w:w="2882"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1B9894A5">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color w:val="FF0000"/>
                <w:sz w:val="24"/>
                <w:szCs w:val="24"/>
                <w:highlight w:val="yellow"/>
                <w:vertAlign w:val="baseline"/>
                <w:lang w:val="en-US" w:eastAsia="zh-CN"/>
              </w:rPr>
            </w:pPr>
          </w:p>
        </w:tc>
        <w:tc>
          <w:tcPr>
            <w:tcW w:w="3780"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6579AA66">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sz w:val="24"/>
                <w:szCs w:val="24"/>
                <w:highlight w:val="none"/>
                <w:vertAlign w:val="baseline"/>
                <w:lang w:val="en-US" w:eastAsia="zh-CN"/>
              </w:rPr>
            </w:pPr>
            <w:r>
              <w:rPr>
                <w:rFonts w:hint="default" w:ascii="Times New Roman" w:hAnsi="Times New Roman" w:eastAsia="华文仿宋" w:cs="Times New Roman"/>
                <w:sz w:val="24"/>
                <w:szCs w:val="24"/>
                <w:highlight w:val="none"/>
                <w:vertAlign w:val="baseline"/>
                <w:lang w:val="en-US" w:eastAsia="zh-CN"/>
              </w:rPr>
              <w:t>3.51</w:t>
            </w:r>
          </w:p>
        </w:tc>
      </w:tr>
    </w:tbl>
    <w:p w14:paraId="247DAE28">
      <w:pPr>
        <w:pageBreakBefore w:val="0"/>
        <w:kinsoku/>
        <w:wordWrap/>
        <w:topLinePunct w:val="0"/>
        <w:bidi w:val="0"/>
        <w:spacing w:beforeAutospacing="0" w:afterAutospacing="0" w:line="560" w:lineRule="exact"/>
        <w:ind w:left="0" w:leftChars="0" w:firstLine="640" w:firstLineChars="200"/>
        <w:rPr>
          <w:rFonts w:hint="default" w:ascii="Times New Roman" w:hAnsi="Times New Roman" w:eastAsia="仿宋_GB2312" w:cs="Times New Roman"/>
          <w:b w:val="0"/>
          <w:bCs w:val="0"/>
          <w:color w:val="auto"/>
          <w:sz w:val="32"/>
          <w:szCs w:val="32"/>
          <w:highlight w:val="none"/>
          <w:u w:val="none"/>
          <w:lang w:val="en-US" w:eastAsia="zh-CN"/>
        </w:rPr>
      </w:pPr>
      <w:r>
        <w:rPr>
          <w:rFonts w:hint="default" w:ascii="Times New Roman" w:hAnsi="Times New Roman" w:eastAsia="仿宋_GB2312" w:cs="Times New Roman"/>
          <w:b w:val="0"/>
          <w:bCs w:val="0"/>
          <w:color w:val="auto"/>
          <w:sz w:val="32"/>
          <w:szCs w:val="32"/>
          <w:highlight w:val="none"/>
          <w:u w:val="none"/>
          <w:lang w:val="en-US" w:eastAsia="zh-CN"/>
        </w:rPr>
        <w:t>3．工程垃圾预测</w:t>
      </w:r>
    </w:p>
    <w:p w14:paraId="0BFDB723">
      <w:pPr>
        <w:pageBreakBefore w:val="0"/>
        <w:kinsoku/>
        <w:wordWrap/>
        <w:topLinePunct w:val="0"/>
        <w:bidi w:val="0"/>
        <w:spacing w:beforeAutospacing="0" w:afterAutospacing="0" w:line="560" w:lineRule="exact"/>
        <w:ind w:left="0" w:leftChars="0" w:firstLine="640" w:firstLineChars="200"/>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（1）工程垃圾的预测方法：</w:t>
      </w:r>
    </w:p>
    <w:p w14:paraId="6F967A09">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left="0" w:leftChars="0" w:firstLine="640" w:firstLineChars="200"/>
        <w:textAlignment w:val="auto"/>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M</w:t>
      </w:r>
      <w:r>
        <w:rPr>
          <w:rFonts w:hint="default" w:ascii="Times New Roman" w:hAnsi="Times New Roman" w:eastAsia="仿宋_GB2312" w:cs="Times New Roman"/>
          <w:color w:val="auto"/>
          <w:sz w:val="32"/>
          <w:szCs w:val="32"/>
          <w:highlight w:val="none"/>
          <w:u w:val="none"/>
          <w:vertAlign w:val="subscript"/>
        </w:rPr>
        <w:t>g</w:t>
      </w:r>
      <w:r>
        <w:rPr>
          <w:rFonts w:hint="default" w:ascii="Times New Roman" w:hAnsi="Times New Roman" w:eastAsia="仿宋_GB2312" w:cs="Times New Roman"/>
          <w:color w:val="auto"/>
          <w:sz w:val="32"/>
          <w:szCs w:val="32"/>
          <w:highlight w:val="none"/>
          <w:u w:val="none"/>
        </w:rPr>
        <w:t>=R</w:t>
      </w:r>
      <w:r>
        <w:rPr>
          <w:rFonts w:hint="default" w:ascii="Times New Roman" w:hAnsi="Times New Roman" w:eastAsia="仿宋_GB2312" w:cs="Times New Roman"/>
          <w:color w:val="auto"/>
          <w:sz w:val="32"/>
          <w:szCs w:val="32"/>
          <w:highlight w:val="none"/>
          <w:u w:val="none"/>
          <w:vertAlign w:val="subscript"/>
        </w:rPr>
        <w:t>g</w:t>
      </w:r>
      <w:r>
        <w:rPr>
          <w:rFonts w:hint="default" w:ascii="Times New Roman" w:hAnsi="Times New Roman" w:eastAsia="仿宋_GB2312" w:cs="Times New Roman"/>
          <w:color w:val="auto"/>
          <w:sz w:val="32"/>
          <w:szCs w:val="32"/>
          <w:highlight w:val="none"/>
          <w:u w:val="none"/>
        </w:rPr>
        <w:t>×m</w:t>
      </w:r>
      <w:r>
        <w:rPr>
          <w:rFonts w:hint="default" w:ascii="Times New Roman" w:hAnsi="Times New Roman" w:eastAsia="仿宋_GB2312" w:cs="Times New Roman"/>
          <w:color w:val="auto"/>
          <w:sz w:val="32"/>
          <w:szCs w:val="32"/>
          <w:highlight w:val="none"/>
          <w:u w:val="none"/>
          <w:vertAlign w:val="subscript"/>
        </w:rPr>
        <w:t>g</w:t>
      </w:r>
    </w:p>
    <w:p w14:paraId="0F181ADD">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left="0" w:leftChars="0" w:firstLine="640" w:firstLineChars="200"/>
        <w:textAlignment w:val="auto"/>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式中：M</w:t>
      </w:r>
      <w:r>
        <w:rPr>
          <w:rFonts w:hint="default" w:ascii="Times New Roman" w:hAnsi="Times New Roman" w:eastAsia="仿宋_GB2312" w:cs="Times New Roman"/>
          <w:color w:val="auto"/>
          <w:sz w:val="32"/>
          <w:szCs w:val="32"/>
          <w:highlight w:val="none"/>
          <w:u w:val="none"/>
          <w:vertAlign w:val="subscript"/>
        </w:rPr>
        <w:t>g</w:t>
      </w:r>
      <w:r>
        <w:rPr>
          <w:rFonts w:hint="eastAsia"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rPr>
        <w:t>某城市或区域工程垃圾产生量，</w:t>
      </w:r>
      <w:r>
        <w:rPr>
          <w:rFonts w:hint="default" w:ascii="Times New Roman" w:hAnsi="Times New Roman" w:eastAsia="仿宋_GB2312" w:cs="Times New Roman"/>
          <w:color w:val="auto"/>
          <w:sz w:val="32"/>
          <w:szCs w:val="32"/>
          <w:highlight w:val="none"/>
          <w:u w:val="none"/>
          <w:lang w:eastAsia="zh-CN"/>
        </w:rPr>
        <w:t>万吨</w:t>
      </w:r>
      <w:r>
        <w:rPr>
          <w:rFonts w:hint="default" w:ascii="Times New Roman" w:hAnsi="Times New Roman" w:eastAsia="仿宋_GB2312" w:cs="Times New Roman"/>
          <w:color w:val="auto"/>
          <w:sz w:val="32"/>
          <w:szCs w:val="32"/>
          <w:highlight w:val="none"/>
          <w:u w:val="none"/>
          <w:lang w:val="en-US" w:eastAsia="zh-CN"/>
        </w:rPr>
        <w:t>/年</w:t>
      </w:r>
      <w:r>
        <w:rPr>
          <w:rFonts w:hint="default" w:ascii="Times New Roman" w:hAnsi="Times New Roman" w:eastAsia="仿宋_GB2312" w:cs="Times New Roman"/>
          <w:color w:val="auto"/>
          <w:sz w:val="32"/>
          <w:szCs w:val="32"/>
          <w:highlight w:val="none"/>
          <w:u w:val="none"/>
        </w:rPr>
        <w:t>；</w:t>
      </w:r>
    </w:p>
    <w:p w14:paraId="1FAD88B4">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left="0" w:leftChars="0" w:firstLine="1600" w:firstLineChars="500"/>
        <w:textAlignment w:val="auto"/>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R</w:t>
      </w:r>
      <w:r>
        <w:rPr>
          <w:rFonts w:hint="default" w:ascii="Times New Roman" w:hAnsi="Times New Roman" w:eastAsia="仿宋_GB2312" w:cs="Times New Roman"/>
          <w:color w:val="auto"/>
          <w:sz w:val="32"/>
          <w:szCs w:val="32"/>
          <w:highlight w:val="none"/>
          <w:u w:val="none"/>
          <w:vertAlign w:val="subscript"/>
        </w:rPr>
        <w:t>g</w:t>
      </w:r>
      <w:r>
        <w:rPr>
          <w:rFonts w:hint="eastAsia"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rPr>
        <w:t>城市或区域新增建筑面积，</w:t>
      </w:r>
      <w:r>
        <w:rPr>
          <w:rFonts w:hint="default" w:ascii="Times New Roman" w:hAnsi="Times New Roman" w:eastAsia="仿宋_GB2312" w:cs="Times New Roman"/>
          <w:color w:val="auto"/>
          <w:sz w:val="32"/>
          <w:szCs w:val="32"/>
          <w:highlight w:val="none"/>
          <w:u w:val="none"/>
          <w:lang w:eastAsia="zh-CN"/>
        </w:rPr>
        <w:t>万平方米</w:t>
      </w:r>
      <w:r>
        <w:rPr>
          <w:rFonts w:hint="default" w:ascii="Times New Roman" w:hAnsi="Times New Roman" w:eastAsia="仿宋_GB2312" w:cs="Times New Roman"/>
          <w:color w:val="auto"/>
          <w:sz w:val="32"/>
          <w:szCs w:val="32"/>
          <w:highlight w:val="none"/>
          <w:u w:val="none"/>
          <w:lang w:val="en-US" w:eastAsia="zh-CN"/>
        </w:rPr>
        <w:t>/年</w:t>
      </w:r>
      <w:r>
        <w:rPr>
          <w:rFonts w:hint="default" w:ascii="Times New Roman" w:hAnsi="Times New Roman" w:eastAsia="仿宋_GB2312" w:cs="Times New Roman"/>
          <w:color w:val="auto"/>
          <w:sz w:val="32"/>
          <w:szCs w:val="32"/>
          <w:highlight w:val="none"/>
          <w:u w:val="none"/>
        </w:rPr>
        <w:t>；</w:t>
      </w:r>
    </w:p>
    <w:p w14:paraId="7ABB4132">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left="0" w:leftChars="0" w:firstLine="1600" w:firstLineChars="500"/>
        <w:textAlignment w:val="auto"/>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m</w:t>
      </w:r>
      <w:r>
        <w:rPr>
          <w:rFonts w:hint="default" w:ascii="Times New Roman" w:hAnsi="Times New Roman" w:eastAsia="仿宋_GB2312" w:cs="Times New Roman"/>
          <w:color w:val="auto"/>
          <w:sz w:val="32"/>
          <w:szCs w:val="32"/>
          <w:highlight w:val="none"/>
          <w:u w:val="none"/>
          <w:vertAlign w:val="subscript"/>
        </w:rPr>
        <w:t>g</w:t>
      </w:r>
      <w:r>
        <w:rPr>
          <w:rFonts w:hint="eastAsia"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rPr>
        <w:t>单位面积工程垃圾产生量基数，</w:t>
      </w:r>
      <w:r>
        <w:rPr>
          <w:rFonts w:hint="default" w:ascii="Times New Roman" w:hAnsi="Times New Roman" w:eastAsia="仿宋_GB2312" w:cs="Times New Roman"/>
          <w:color w:val="auto"/>
          <w:sz w:val="32"/>
          <w:szCs w:val="32"/>
          <w:highlight w:val="none"/>
          <w:u w:val="none"/>
          <w:lang w:eastAsia="zh-CN"/>
        </w:rPr>
        <w:t>万吨</w:t>
      </w:r>
      <w:r>
        <w:rPr>
          <w:rFonts w:hint="default" w:ascii="Times New Roman" w:hAnsi="Times New Roman" w:eastAsia="仿宋_GB2312" w:cs="Times New Roman"/>
          <w:color w:val="auto"/>
          <w:sz w:val="32"/>
          <w:szCs w:val="32"/>
          <w:highlight w:val="none"/>
          <w:u w:val="none"/>
          <w:lang w:val="en-US" w:eastAsia="zh-CN"/>
        </w:rPr>
        <w:t>/万平方米</w:t>
      </w:r>
      <w:r>
        <w:rPr>
          <w:rFonts w:hint="default" w:ascii="Times New Roman" w:hAnsi="Times New Roman" w:eastAsia="仿宋_GB2312" w:cs="Times New Roman"/>
          <w:color w:val="auto"/>
          <w:sz w:val="32"/>
          <w:szCs w:val="32"/>
          <w:highlight w:val="none"/>
          <w:u w:val="none"/>
        </w:rPr>
        <w:t>，可取</w:t>
      </w:r>
      <w:r>
        <w:rPr>
          <w:rFonts w:hint="default" w:ascii="Times New Roman" w:hAnsi="Times New Roman" w:eastAsia="仿宋_GB2312" w:cs="Times New Roman"/>
          <w:color w:val="auto"/>
          <w:sz w:val="32"/>
          <w:szCs w:val="32"/>
          <w:highlight w:val="none"/>
          <w:u w:val="none"/>
          <w:lang w:val="en-US" w:eastAsia="zh-CN"/>
        </w:rPr>
        <w:t>0.03</w:t>
      </w:r>
      <w:r>
        <w:rPr>
          <w:rFonts w:hint="eastAsia"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lang w:val="en-US" w:eastAsia="zh-CN"/>
        </w:rPr>
        <w:t>0.08</w:t>
      </w:r>
      <w:r>
        <w:rPr>
          <w:rFonts w:hint="default" w:ascii="Times New Roman" w:hAnsi="Times New Roman" w:eastAsia="仿宋_GB2312" w:cs="Times New Roman"/>
          <w:color w:val="auto"/>
          <w:sz w:val="32"/>
          <w:szCs w:val="32"/>
          <w:highlight w:val="none"/>
          <w:u w:val="none"/>
        </w:rPr>
        <w:t>。</w:t>
      </w:r>
    </w:p>
    <w:p w14:paraId="070E0653">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left="0" w:leftChars="0"/>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rPr>
        <w:t>（2）</w:t>
      </w:r>
      <w:r>
        <w:rPr>
          <w:rFonts w:hint="default" w:ascii="Times New Roman" w:hAnsi="Times New Roman" w:eastAsia="仿宋_GB2312" w:cs="Times New Roman"/>
          <w:bCs/>
          <w:sz w:val="32"/>
          <w:szCs w:val="32"/>
          <w:highlight w:val="none"/>
        </w:rPr>
        <w:t>根据近年的</w:t>
      </w:r>
      <w:r>
        <w:rPr>
          <w:rFonts w:hint="default" w:ascii="Times New Roman" w:hAnsi="Times New Roman" w:eastAsia="仿宋_GB2312" w:cs="Times New Roman"/>
          <w:bCs/>
          <w:color w:val="auto"/>
          <w:sz w:val="32"/>
          <w:szCs w:val="32"/>
          <w:highlight w:val="none"/>
          <w:u w:val="none"/>
          <w:lang w:val="en-US" w:eastAsia="zh-CN"/>
        </w:rPr>
        <w:t>融安县</w:t>
      </w:r>
      <w:r>
        <w:rPr>
          <w:rFonts w:hint="eastAsia" w:ascii="Times New Roman" w:hAnsi="Times New Roman" w:eastAsia="仿宋_GB2312" w:cs="Times New Roman"/>
          <w:sz w:val="32"/>
          <w:szCs w:val="32"/>
          <w:highlight w:val="none"/>
          <w:lang w:val="en-US" w:eastAsia="zh-CN"/>
        </w:rPr>
        <w:t>城区</w:t>
      </w:r>
      <w:r>
        <w:rPr>
          <w:rFonts w:hint="default" w:ascii="Times New Roman" w:hAnsi="Times New Roman" w:eastAsia="仿宋_GB2312" w:cs="Times New Roman"/>
          <w:bCs/>
          <w:sz w:val="32"/>
          <w:szCs w:val="32"/>
          <w:highlight w:val="none"/>
        </w:rPr>
        <w:t>房屋</w:t>
      </w:r>
      <w:r>
        <w:rPr>
          <w:rFonts w:hint="default" w:ascii="Times New Roman" w:hAnsi="Times New Roman" w:eastAsia="仿宋_GB2312" w:cs="Times New Roman"/>
          <w:bCs/>
          <w:sz w:val="32"/>
          <w:szCs w:val="32"/>
          <w:highlight w:val="none"/>
          <w:lang w:eastAsia="zh-CN"/>
        </w:rPr>
        <w:t>建筑施工面</w:t>
      </w:r>
      <w:r>
        <w:rPr>
          <w:rFonts w:hint="default" w:ascii="Times New Roman" w:hAnsi="Times New Roman" w:eastAsia="仿宋_GB2312" w:cs="Times New Roman"/>
          <w:bCs/>
          <w:sz w:val="32"/>
          <w:szCs w:val="32"/>
          <w:highlight w:val="none"/>
        </w:rPr>
        <w:t>积数据，</w:t>
      </w:r>
      <w:r>
        <w:rPr>
          <w:rFonts w:hint="default" w:ascii="Times New Roman" w:hAnsi="Times New Roman" w:eastAsia="仿宋_GB2312" w:cs="Times New Roman"/>
          <w:bCs/>
          <w:color w:val="auto"/>
          <w:sz w:val="32"/>
          <w:szCs w:val="32"/>
          <w:highlight w:val="none"/>
          <w:u w:val="none"/>
          <w:lang w:val="en-US" w:eastAsia="zh-CN"/>
        </w:rPr>
        <w:t>融安县</w:t>
      </w:r>
      <w:r>
        <w:rPr>
          <w:rFonts w:hint="default" w:ascii="Times New Roman" w:hAnsi="Times New Roman" w:eastAsia="仿宋_GB2312" w:cs="Times New Roman"/>
          <w:bCs/>
          <w:sz w:val="32"/>
          <w:szCs w:val="32"/>
          <w:highlight w:val="none"/>
        </w:rPr>
        <w:t>房屋</w:t>
      </w:r>
      <w:r>
        <w:rPr>
          <w:rFonts w:hint="default" w:ascii="Times New Roman" w:hAnsi="Times New Roman" w:eastAsia="仿宋_GB2312" w:cs="Times New Roman"/>
          <w:bCs/>
          <w:sz w:val="32"/>
          <w:szCs w:val="32"/>
          <w:highlight w:val="none"/>
          <w:lang w:eastAsia="zh-CN"/>
        </w:rPr>
        <w:t>建筑施工</w:t>
      </w:r>
      <w:r>
        <w:rPr>
          <w:rFonts w:hint="default" w:ascii="Times New Roman" w:hAnsi="Times New Roman" w:eastAsia="仿宋_GB2312" w:cs="Times New Roman"/>
          <w:bCs/>
          <w:sz w:val="32"/>
          <w:szCs w:val="32"/>
          <w:highlight w:val="none"/>
        </w:rPr>
        <w:t>面积</w:t>
      </w:r>
      <w:r>
        <w:rPr>
          <w:rFonts w:hint="default" w:ascii="Times New Roman" w:hAnsi="Times New Roman" w:eastAsia="仿宋_GB2312" w:cs="Times New Roman"/>
          <w:bCs/>
          <w:sz w:val="32"/>
          <w:szCs w:val="32"/>
          <w:highlight w:val="none"/>
          <w:lang w:eastAsia="zh-CN"/>
        </w:rPr>
        <w:t>整体</w:t>
      </w:r>
      <w:r>
        <w:rPr>
          <w:rFonts w:hint="default" w:ascii="Times New Roman" w:hAnsi="Times New Roman" w:eastAsia="仿宋_GB2312" w:cs="Times New Roman"/>
          <w:bCs/>
          <w:sz w:val="32"/>
          <w:szCs w:val="32"/>
          <w:highlight w:val="none"/>
        </w:rPr>
        <w:t>呈下降趋势</w:t>
      </w:r>
      <w:r>
        <w:rPr>
          <w:rFonts w:hint="default" w:ascii="Times New Roman" w:hAnsi="Times New Roman" w:eastAsia="仿宋_GB2312" w:cs="Times New Roman"/>
          <w:sz w:val="32"/>
          <w:szCs w:val="32"/>
          <w:highlight w:val="none"/>
        </w:rPr>
        <w:t>，预测未来</w:t>
      </w:r>
      <w:r>
        <w:rPr>
          <w:rFonts w:hint="default" w:ascii="Times New Roman" w:hAnsi="Times New Roman" w:eastAsia="仿宋_GB2312" w:cs="Times New Roman"/>
          <w:bCs/>
          <w:color w:val="auto"/>
          <w:sz w:val="32"/>
          <w:szCs w:val="32"/>
          <w:highlight w:val="none"/>
          <w:u w:val="none"/>
          <w:lang w:val="en-US" w:eastAsia="zh-CN"/>
        </w:rPr>
        <w:t>融安县</w:t>
      </w:r>
      <w:r>
        <w:rPr>
          <w:rFonts w:hint="default" w:ascii="Times New Roman" w:hAnsi="Times New Roman" w:eastAsia="仿宋_GB2312" w:cs="Times New Roman"/>
          <w:bCs/>
          <w:sz w:val="32"/>
          <w:szCs w:val="32"/>
          <w:highlight w:val="none"/>
          <w:lang w:eastAsia="zh-CN"/>
        </w:rPr>
        <w:t>建筑施工</w:t>
      </w:r>
      <w:r>
        <w:rPr>
          <w:rFonts w:hint="default" w:ascii="Times New Roman" w:hAnsi="Times New Roman" w:eastAsia="仿宋_GB2312" w:cs="Times New Roman"/>
          <w:sz w:val="32"/>
          <w:szCs w:val="32"/>
          <w:highlight w:val="none"/>
        </w:rPr>
        <w:t>面积也呈下降趋势，结合</w:t>
      </w:r>
      <w:r>
        <w:rPr>
          <w:rFonts w:hint="default" w:ascii="Times New Roman" w:hAnsi="Times New Roman" w:eastAsia="仿宋_GB2312" w:cs="Times New Roman"/>
          <w:bCs/>
          <w:color w:val="auto"/>
          <w:sz w:val="32"/>
          <w:szCs w:val="32"/>
          <w:highlight w:val="none"/>
          <w:u w:val="none"/>
          <w:lang w:val="en-US" w:eastAsia="zh-CN"/>
        </w:rPr>
        <w:t>融安县</w:t>
      </w:r>
      <w:r>
        <w:rPr>
          <w:rFonts w:hint="default" w:ascii="Times New Roman" w:hAnsi="Times New Roman" w:eastAsia="仿宋_GB2312" w:cs="Times New Roman"/>
          <w:sz w:val="32"/>
          <w:szCs w:val="32"/>
          <w:highlight w:val="none"/>
        </w:rPr>
        <w:t>历年实际情况</w:t>
      </w:r>
      <w:r>
        <w:rPr>
          <w:rFonts w:hint="default" w:ascii="Times New Roman" w:hAnsi="Times New Roman" w:eastAsia="仿宋_GB2312" w:cs="Times New Roman"/>
          <w:sz w:val="32"/>
          <w:szCs w:val="32"/>
          <w:highlight w:val="none"/>
          <w:lang w:eastAsia="zh-CN"/>
        </w:rPr>
        <w:t>及规划指标要求</w:t>
      </w:r>
      <w:r>
        <w:rPr>
          <w:rFonts w:hint="default" w:ascii="Times New Roman" w:hAnsi="Times New Roman" w:eastAsia="仿宋_GB2312" w:cs="Times New Roman"/>
          <w:sz w:val="32"/>
          <w:szCs w:val="32"/>
          <w:highlight w:val="none"/>
        </w:rPr>
        <w:t>，单位面积工程垃圾产生量基数取300t/10</w:t>
      </w:r>
      <w:r>
        <w:rPr>
          <w:rFonts w:hint="default" w:ascii="Times New Roman" w:hAnsi="Times New Roman" w:eastAsia="仿宋_GB2312" w:cs="Times New Roman"/>
          <w:sz w:val="32"/>
          <w:szCs w:val="32"/>
          <w:highlight w:val="none"/>
          <w:vertAlign w:val="superscript"/>
        </w:rPr>
        <w:t>4</w:t>
      </w:r>
      <w:r>
        <w:rPr>
          <w:rFonts w:hint="default" w:ascii="Times New Roman" w:hAnsi="Times New Roman" w:eastAsia="仿宋_GB2312" w:cs="Times New Roman"/>
          <w:sz w:val="32"/>
          <w:szCs w:val="32"/>
          <w:highlight w:val="none"/>
        </w:rPr>
        <w:t>m</w:t>
      </w:r>
      <w:r>
        <w:rPr>
          <w:rFonts w:hint="default" w:ascii="Times New Roman" w:hAnsi="Times New Roman" w:eastAsia="仿宋_GB2312" w:cs="Times New Roman"/>
          <w:sz w:val="32"/>
          <w:szCs w:val="32"/>
          <w:highlight w:val="none"/>
          <w:vertAlign w:val="superscript"/>
        </w:rPr>
        <w:t>2</w:t>
      </w:r>
      <w:r>
        <w:rPr>
          <w:rFonts w:hint="default" w:ascii="Times New Roman" w:hAnsi="Times New Roman" w:eastAsia="仿宋_GB2312" w:cs="Times New Roman"/>
          <w:sz w:val="32"/>
          <w:szCs w:val="32"/>
          <w:highlight w:val="none"/>
        </w:rPr>
        <w:t>。</w:t>
      </w:r>
      <w:r>
        <w:rPr>
          <w:rFonts w:hint="default" w:ascii="Times New Roman" w:hAnsi="Times New Roman" w:eastAsia="仿宋_GB2312" w:cs="Times New Roman"/>
          <w:sz w:val="32"/>
          <w:szCs w:val="32"/>
          <w:highlight w:val="none"/>
          <w:lang w:val="en-US" w:eastAsia="zh-CN"/>
        </w:rPr>
        <w:t>预测近期2024</w:t>
      </w:r>
      <w:r>
        <w:rPr>
          <w:rFonts w:hint="eastAsia" w:ascii="Times New Roman" w:hAnsi="Times New Roman" w:eastAsia="仿宋_GB2312" w:cs="Times New Roman"/>
          <w:sz w:val="32"/>
          <w:szCs w:val="32"/>
          <w:highlight w:val="none"/>
          <w:lang w:val="en-US" w:eastAsia="zh-CN"/>
        </w:rPr>
        <w:t>—</w:t>
      </w:r>
      <w:r>
        <w:rPr>
          <w:rFonts w:hint="default" w:ascii="Times New Roman" w:hAnsi="Times New Roman" w:eastAsia="仿宋_GB2312" w:cs="Times New Roman"/>
          <w:sz w:val="32"/>
          <w:szCs w:val="32"/>
          <w:highlight w:val="none"/>
          <w:lang w:val="en-US" w:eastAsia="zh-CN"/>
        </w:rPr>
        <w:t>2030年</w:t>
      </w:r>
      <w:r>
        <w:rPr>
          <w:rFonts w:hint="default" w:ascii="Times New Roman" w:hAnsi="Times New Roman" w:eastAsia="仿宋_GB2312" w:cs="Times New Roman"/>
          <w:sz w:val="32"/>
          <w:szCs w:val="32"/>
          <w:highlight w:val="none"/>
        </w:rPr>
        <w:t>工程垃圾</w:t>
      </w:r>
      <w:r>
        <w:rPr>
          <w:rFonts w:hint="default" w:ascii="Times New Roman" w:hAnsi="Times New Roman" w:eastAsia="仿宋_GB2312" w:cs="Times New Roman"/>
          <w:sz w:val="32"/>
          <w:szCs w:val="32"/>
          <w:highlight w:val="none"/>
          <w:lang w:val="en-US" w:eastAsia="zh-CN"/>
        </w:rPr>
        <w:t>产生量约为6.71万吨，预测远期2031</w:t>
      </w:r>
      <w:r>
        <w:rPr>
          <w:rFonts w:hint="eastAsia" w:ascii="Times New Roman" w:hAnsi="Times New Roman" w:eastAsia="仿宋_GB2312" w:cs="Times New Roman"/>
          <w:sz w:val="32"/>
          <w:szCs w:val="32"/>
          <w:highlight w:val="none"/>
          <w:lang w:val="en-US" w:eastAsia="zh-CN"/>
        </w:rPr>
        <w:t>—</w:t>
      </w:r>
      <w:r>
        <w:rPr>
          <w:rFonts w:hint="default" w:ascii="Times New Roman" w:hAnsi="Times New Roman" w:eastAsia="仿宋_GB2312" w:cs="Times New Roman"/>
          <w:sz w:val="32"/>
          <w:szCs w:val="32"/>
          <w:highlight w:val="none"/>
          <w:lang w:val="en-US" w:eastAsia="zh-CN"/>
        </w:rPr>
        <w:t>2035年</w:t>
      </w:r>
      <w:r>
        <w:rPr>
          <w:rFonts w:hint="default" w:ascii="Times New Roman" w:hAnsi="Times New Roman" w:eastAsia="仿宋_GB2312" w:cs="Times New Roman"/>
          <w:sz w:val="32"/>
          <w:szCs w:val="32"/>
          <w:highlight w:val="none"/>
        </w:rPr>
        <w:t>工程垃圾</w:t>
      </w:r>
      <w:r>
        <w:rPr>
          <w:rFonts w:hint="default" w:ascii="Times New Roman" w:hAnsi="Times New Roman" w:eastAsia="仿宋_GB2312" w:cs="Times New Roman"/>
          <w:sz w:val="32"/>
          <w:szCs w:val="32"/>
          <w:highlight w:val="none"/>
          <w:lang w:val="en-US" w:eastAsia="zh-CN"/>
        </w:rPr>
        <w:t>产生量约3.51万吨。</w:t>
      </w:r>
    </w:p>
    <w:p w14:paraId="489DA310">
      <w:pPr>
        <w:pageBreakBefore w:val="0"/>
        <w:kinsoku/>
        <w:wordWrap/>
        <w:topLinePunct w:val="0"/>
        <w:bidi w:val="0"/>
        <w:spacing w:beforeAutospacing="0" w:afterAutospacing="0" w:line="560" w:lineRule="exact"/>
        <w:ind w:left="0" w:leftChars="0"/>
        <w:jc w:val="center"/>
        <w:rPr>
          <w:rFonts w:hint="default" w:ascii="Times New Roman" w:hAnsi="Times New Roman" w:eastAsia="仿宋_GB2312" w:cs="Times New Roman"/>
          <w:bCs/>
          <w:sz w:val="32"/>
          <w:szCs w:val="32"/>
          <w:highlight w:val="none"/>
          <w:lang w:eastAsia="zh-CN"/>
        </w:rPr>
      </w:pPr>
    </w:p>
    <w:p w14:paraId="454C683A">
      <w:pPr>
        <w:pageBreakBefore w:val="0"/>
        <w:kinsoku/>
        <w:wordWrap/>
        <w:topLinePunct w:val="0"/>
        <w:bidi w:val="0"/>
        <w:spacing w:beforeAutospacing="0" w:afterAutospacing="0" w:line="560" w:lineRule="exact"/>
        <w:ind w:left="0" w:leftChars="0"/>
        <w:jc w:val="center"/>
        <w:rPr>
          <w:rFonts w:hint="default" w:ascii="Times New Roman" w:hAnsi="Times New Roman" w:eastAsia="仿宋_GB2312" w:cs="Times New Roman"/>
          <w:bCs/>
          <w:sz w:val="32"/>
          <w:szCs w:val="32"/>
          <w:highlight w:val="none"/>
          <w:lang w:eastAsia="zh-CN"/>
        </w:rPr>
      </w:pPr>
      <w:r>
        <w:rPr>
          <w:rFonts w:hint="default" w:ascii="Times New Roman" w:hAnsi="Times New Roman" w:eastAsia="仿宋_GB2312" w:cs="Times New Roman"/>
          <w:bCs/>
          <w:sz w:val="32"/>
          <w:szCs w:val="32"/>
          <w:highlight w:val="none"/>
          <w:lang w:eastAsia="zh-CN"/>
        </w:rPr>
        <w:t>表：</w:t>
      </w:r>
      <w:r>
        <w:rPr>
          <w:rFonts w:hint="default" w:ascii="Times New Roman" w:hAnsi="Times New Roman" w:eastAsia="仿宋_GB2312" w:cs="Times New Roman"/>
          <w:bCs/>
          <w:color w:val="auto"/>
          <w:sz w:val="32"/>
          <w:szCs w:val="32"/>
          <w:highlight w:val="none"/>
          <w:u w:val="none"/>
          <w:lang w:val="en-US" w:eastAsia="zh-CN"/>
        </w:rPr>
        <w:t>融安县</w:t>
      </w:r>
      <w:r>
        <w:rPr>
          <w:rFonts w:hint="default" w:ascii="Times New Roman" w:hAnsi="Times New Roman" w:eastAsia="仿宋_GB2312" w:cs="Times New Roman"/>
          <w:sz w:val="32"/>
          <w:szCs w:val="32"/>
          <w:highlight w:val="none"/>
          <w:lang w:val="en-US" w:eastAsia="zh-CN"/>
        </w:rPr>
        <w:t>城区</w:t>
      </w:r>
      <w:r>
        <w:rPr>
          <w:rFonts w:hint="default" w:ascii="Times New Roman" w:hAnsi="Times New Roman" w:eastAsia="仿宋_GB2312" w:cs="Times New Roman"/>
          <w:bCs/>
          <w:sz w:val="32"/>
          <w:szCs w:val="32"/>
          <w:highlight w:val="none"/>
          <w:lang w:eastAsia="zh-CN"/>
        </w:rPr>
        <w:t>工程垃圾预测量</w:t>
      </w:r>
    </w:p>
    <w:tbl>
      <w:tblPr>
        <w:tblStyle w:val="16"/>
        <w:tblW w:w="927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2570"/>
        <w:gridCol w:w="2920"/>
        <w:gridCol w:w="3780"/>
      </w:tblGrid>
      <w:tr w14:paraId="76544A3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90" w:hRule="atLeast"/>
          <w:tblHeader/>
        </w:trPr>
        <w:tc>
          <w:tcPr>
            <w:tcW w:w="2570" w:type="dxa"/>
            <w:tcBorders>
              <w:top w:val="single" w:color="000000" w:sz="8" w:space="0"/>
              <w:left w:val="single" w:color="000000" w:sz="8" w:space="0"/>
              <w:bottom w:val="single" w:color="000000" w:sz="8" w:space="0"/>
              <w:right w:val="single" w:color="auto" w:sz="4" w:space="0"/>
            </w:tcBorders>
            <w:shd w:val="clear" w:color="auto" w:fill="auto"/>
            <w:tcMar>
              <w:top w:w="15" w:type="dxa"/>
              <w:left w:w="15" w:type="dxa"/>
              <w:right w:w="15" w:type="dxa"/>
            </w:tcMar>
            <w:vAlign w:val="center"/>
          </w:tcPr>
          <w:p w14:paraId="250346D0">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黑体" w:hAnsi="黑体" w:eastAsia="黑体" w:cs="黑体"/>
                <w:kern w:val="2"/>
                <w:sz w:val="24"/>
                <w:szCs w:val="24"/>
                <w:highlight w:val="none"/>
                <w:vertAlign w:val="baseline"/>
                <w:lang w:val="en-US" w:eastAsia="zh-CN" w:bidi="ar-SA"/>
              </w:rPr>
            </w:pPr>
            <w:r>
              <w:rPr>
                <w:rFonts w:hint="eastAsia" w:ascii="黑体" w:hAnsi="黑体" w:eastAsia="黑体" w:cs="黑体"/>
                <w:kern w:val="2"/>
                <w:sz w:val="24"/>
                <w:szCs w:val="24"/>
                <w:highlight w:val="none"/>
                <w:vertAlign w:val="baseline"/>
                <w:lang w:val="en-US" w:eastAsia="zh-CN" w:bidi="ar-SA"/>
              </w:rPr>
              <w:t>年份</w:t>
            </w:r>
          </w:p>
        </w:tc>
        <w:tc>
          <w:tcPr>
            <w:tcW w:w="2920" w:type="dxa"/>
            <w:tcBorders>
              <w:top w:val="single" w:color="auto" w:sz="4" w:space="0"/>
              <w:left w:val="single" w:color="auto" w:sz="4" w:space="0"/>
              <w:bottom w:val="single" w:color="auto" w:sz="4" w:space="0"/>
              <w:right w:val="single" w:color="000000" w:sz="8" w:space="0"/>
            </w:tcBorders>
            <w:shd w:val="clear" w:color="auto" w:fill="auto"/>
            <w:tcMar>
              <w:top w:w="15" w:type="dxa"/>
              <w:left w:w="15" w:type="dxa"/>
              <w:right w:w="15" w:type="dxa"/>
            </w:tcMar>
            <w:vAlign w:val="center"/>
          </w:tcPr>
          <w:p w14:paraId="328ADB62">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黑体" w:hAnsi="黑体" w:eastAsia="黑体" w:cs="黑体"/>
                <w:kern w:val="2"/>
                <w:sz w:val="24"/>
                <w:szCs w:val="24"/>
                <w:highlight w:val="none"/>
                <w:vertAlign w:val="baseline"/>
                <w:lang w:val="en-US" w:eastAsia="zh-CN" w:bidi="ar-SA"/>
              </w:rPr>
            </w:pPr>
            <w:r>
              <w:rPr>
                <w:rFonts w:hint="eastAsia" w:ascii="黑体" w:hAnsi="黑体" w:eastAsia="黑体" w:cs="黑体"/>
                <w:kern w:val="2"/>
                <w:sz w:val="24"/>
                <w:szCs w:val="24"/>
                <w:highlight w:val="none"/>
                <w:vertAlign w:val="baseline"/>
                <w:lang w:val="en-US" w:eastAsia="zh-CN" w:bidi="ar-SA"/>
              </w:rPr>
              <w:t>建筑施工面积</w:t>
            </w:r>
          </w:p>
          <w:p w14:paraId="63051683">
            <w:pPr>
              <w:keepNext w:val="0"/>
              <w:keepLines w:val="0"/>
              <w:pageBreakBefore w:val="0"/>
              <w:widowControl/>
              <w:suppressLineNumbers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center"/>
              <w:rPr>
                <w:rFonts w:hint="eastAsia" w:ascii="黑体" w:hAnsi="黑体" w:eastAsia="黑体" w:cs="黑体"/>
                <w:kern w:val="2"/>
                <w:sz w:val="24"/>
                <w:szCs w:val="24"/>
                <w:highlight w:val="none"/>
                <w:vertAlign w:val="baseline"/>
                <w:lang w:val="en-US" w:eastAsia="zh-CN" w:bidi="ar-SA"/>
              </w:rPr>
            </w:pPr>
            <w:r>
              <w:rPr>
                <w:rFonts w:hint="eastAsia" w:ascii="黑体" w:hAnsi="黑体" w:eastAsia="黑体" w:cs="黑体"/>
                <w:kern w:val="2"/>
                <w:sz w:val="24"/>
                <w:szCs w:val="24"/>
                <w:highlight w:val="none"/>
                <w:vertAlign w:val="baseline"/>
                <w:lang w:val="en-US" w:eastAsia="zh-CN" w:bidi="ar-SA"/>
              </w:rPr>
              <w:t>（万平方米/年）</w:t>
            </w:r>
          </w:p>
        </w:tc>
        <w:tc>
          <w:tcPr>
            <w:tcW w:w="3780" w:type="dxa"/>
            <w:tcBorders>
              <w:top w:val="single" w:color="auto" w:sz="4" w:space="0"/>
              <w:left w:val="single" w:color="000000" w:sz="8" w:space="0"/>
              <w:bottom w:val="single" w:color="auto" w:sz="4" w:space="0"/>
              <w:right w:val="single" w:color="auto" w:sz="4" w:space="0"/>
            </w:tcBorders>
            <w:shd w:val="clear" w:color="auto" w:fill="auto"/>
            <w:tcMar>
              <w:top w:w="15" w:type="dxa"/>
              <w:left w:w="15" w:type="dxa"/>
              <w:right w:w="15" w:type="dxa"/>
            </w:tcMar>
            <w:vAlign w:val="center"/>
          </w:tcPr>
          <w:p w14:paraId="2CA46CCC">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黑体" w:hAnsi="黑体" w:eastAsia="黑体" w:cs="黑体"/>
                <w:kern w:val="2"/>
                <w:sz w:val="24"/>
                <w:szCs w:val="24"/>
                <w:highlight w:val="none"/>
                <w:vertAlign w:val="baseline"/>
                <w:lang w:val="en-US" w:eastAsia="zh-CN" w:bidi="ar-SA"/>
              </w:rPr>
            </w:pPr>
            <w:r>
              <w:rPr>
                <w:rFonts w:hint="eastAsia" w:ascii="黑体" w:hAnsi="黑体" w:eastAsia="黑体" w:cs="黑体"/>
                <w:kern w:val="2"/>
                <w:sz w:val="24"/>
                <w:szCs w:val="24"/>
                <w:highlight w:val="none"/>
                <w:vertAlign w:val="baseline"/>
                <w:lang w:val="en-US" w:eastAsia="zh-CN" w:bidi="ar-SA"/>
              </w:rPr>
              <w:t>工程垃圾产量</w:t>
            </w:r>
          </w:p>
          <w:p w14:paraId="272C1BEB">
            <w:pPr>
              <w:keepNext w:val="0"/>
              <w:keepLines w:val="0"/>
              <w:pageBreakBefore w:val="0"/>
              <w:widowControl/>
              <w:suppressLineNumbers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center"/>
              <w:rPr>
                <w:rFonts w:hint="eastAsia" w:ascii="黑体" w:hAnsi="黑体" w:eastAsia="黑体" w:cs="黑体"/>
                <w:kern w:val="2"/>
                <w:sz w:val="24"/>
                <w:szCs w:val="24"/>
                <w:highlight w:val="none"/>
                <w:vertAlign w:val="baseline"/>
                <w:lang w:val="en-US" w:eastAsia="zh-CN" w:bidi="ar-SA"/>
              </w:rPr>
            </w:pPr>
            <w:r>
              <w:rPr>
                <w:rFonts w:hint="eastAsia" w:ascii="黑体" w:hAnsi="黑体" w:eastAsia="黑体" w:cs="黑体"/>
                <w:kern w:val="2"/>
                <w:sz w:val="24"/>
                <w:szCs w:val="24"/>
                <w:highlight w:val="none"/>
                <w:vertAlign w:val="baseline"/>
                <w:lang w:val="en-US" w:eastAsia="zh-CN" w:bidi="ar-SA"/>
              </w:rPr>
              <w:t>（万吨/年）</w:t>
            </w:r>
          </w:p>
        </w:tc>
      </w:tr>
      <w:tr w14:paraId="118598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30" w:hRule="atLeast"/>
        </w:trPr>
        <w:tc>
          <w:tcPr>
            <w:tcW w:w="2570"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50795CE5">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sz w:val="24"/>
                <w:szCs w:val="24"/>
                <w:highlight w:val="none"/>
                <w:vertAlign w:val="baseline"/>
                <w:lang w:val="en-US" w:eastAsia="zh-CN"/>
              </w:rPr>
            </w:pPr>
            <w:r>
              <w:rPr>
                <w:rFonts w:hint="default" w:ascii="Times New Roman" w:hAnsi="Times New Roman" w:eastAsia="华文仿宋" w:cs="Times New Roman"/>
                <w:sz w:val="24"/>
                <w:szCs w:val="24"/>
                <w:highlight w:val="none"/>
                <w:vertAlign w:val="baseline"/>
                <w:lang w:val="en-US" w:eastAsia="zh-CN"/>
              </w:rPr>
              <w:t>2024</w:t>
            </w:r>
          </w:p>
        </w:tc>
        <w:tc>
          <w:tcPr>
            <w:tcW w:w="2920" w:type="dxa"/>
            <w:tcBorders>
              <w:top w:val="single" w:color="auto" w:sz="4" w:space="0"/>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427996FE">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sz w:val="24"/>
                <w:szCs w:val="24"/>
                <w:highlight w:val="none"/>
                <w:vertAlign w:val="baseline"/>
                <w:lang w:val="en-US" w:eastAsia="zh-CN"/>
              </w:rPr>
            </w:pPr>
            <w:r>
              <w:rPr>
                <w:rFonts w:hint="default" w:ascii="Times New Roman" w:hAnsi="Times New Roman" w:eastAsia="华文仿宋" w:cs="Times New Roman"/>
                <w:sz w:val="24"/>
                <w:szCs w:val="24"/>
                <w:highlight w:val="none"/>
                <w:vertAlign w:val="baseline"/>
                <w:lang w:val="en-US" w:eastAsia="zh-CN"/>
              </w:rPr>
              <w:t xml:space="preserve">37 </w:t>
            </w:r>
          </w:p>
        </w:tc>
        <w:tc>
          <w:tcPr>
            <w:tcW w:w="3780" w:type="dxa"/>
            <w:tcBorders>
              <w:top w:val="single" w:color="auto" w:sz="4" w:space="0"/>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1A179115">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sz w:val="24"/>
                <w:szCs w:val="24"/>
                <w:highlight w:val="none"/>
                <w:vertAlign w:val="baseline"/>
                <w:lang w:val="en-US" w:eastAsia="zh-CN"/>
              </w:rPr>
            </w:pPr>
            <w:r>
              <w:rPr>
                <w:rFonts w:hint="default" w:ascii="Times New Roman" w:hAnsi="Times New Roman" w:eastAsia="华文仿宋" w:cs="Times New Roman"/>
                <w:sz w:val="24"/>
                <w:szCs w:val="24"/>
                <w:highlight w:val="none"/>
                <w:vertAlign w:val="baseline"/>
                <w:lang w:val="en-US" w:eastAsia="zh-CN"/>
              </w:rPr>
              <w:t xml:space="preserve">1.11 </w:t>
            </w:r>
          </w:p>
        </w:tc>
      </w:tr>
      <w:tr w14:paraId="47D4FE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30" w:hRule="atLeast"/>
        </w:trPr>
        <w:tc>
          <w:tcPr>
            <w:tcW w:w="2570"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3262D38D">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sz w:val="24"/>
                <w:szCs w:val="24"/>
                <w:highlight w:val="none"/>
                <w:vertAlign w:val="baseline"/>
                <w:lang w:val="en-US" w:eastAsia="zh-CN"/>
              </w:rPr>
            </w:pPr>
            <w:r>
              <w:rPr>
                <w:rFonts w:hint="default" w:ascii="Times New Roman" w:hAnsi="Times New Roman" w:eastAsia="华文仿宋" w:cs="Times New Roman"/>
                <w:sz w:val="24"/>
                <w:szCs w:val="24"/>
                <w:highlight w:val="none"/>
                <w:vertAlign w:val="baseline"/>
                <w:lang w:val="en-US" w:eastAsia="zh-CN"/>
              </w:rPr>
              <w:t>2025</w:t>
            </w:r>
          </w:p>
        </w:tc>
        <w:tc>
          <w:tcPr>
            <w:tcW w:w="2920"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7D88A2FD">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sz w:val="24"/>
                <w:szCs w:val="24"/>
                <w:highlight w:val="none"/>
                <w:vertAlign w:val="baseline"/>
                <w:lang w:val="en-US" w:eastAsia="zh-CN"/>
              </w:rPr>
            </w:pPr>
            <w:r>
              <w:rPr>
                <w:rFonts w:hint="default" w:ascii="Times New Roman" w:hAnsi="Times New Roman" w:eastAsia="华文仿宋" w:cs="Times New Roman"/>
                <w:sz w:val="24"/>
                <w:szCs w:val="24"/>
                <w:highlight w:val="none"/>
                <w:vertAlign w:val="baseline"/>
                <w:lang w:val="en-US" w:eastAsia="zh-CN"/>
              </w:rPr>
              <w:t xml:space="preserve">35 </w:t>
            </w:r>
          </w:p>
        </w:tc>
        <w:tc>
          <w:tcPr>
            <w:tcW w:w="3780"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47C6DD08">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sz w:val="24"/>
                <w:szCs w:val="24"/>
                <w:highlight w:val="none"/>
                <w:vertAlign w:val="baseline"/>
                <w:lang w:val="en-US" w:eastAsia="zh-CN"/>
              </w:rPr>
            </w:pPr>
            <w:r>
              <w:rPr>
                <w:rFonts w:hint="default" w:ascii="Times New Roman" w:hAnsi="Times New Roman" w:eastAsia="华文仿宋" w:cs="Times New Roman"/>
                <w:sz w:val="24"/>
                <w:szCs w:val="24"/>
                <w:highlight w:val="none"/>
                <w:vertAlign w:val="baseline"/>
                <w:lang w:val="en-US" w:eastAsia="zh-CN"/>
              </w:rPr>
              <w:t xml:space="preserve">1.06 </w:t>
            </w:r>
          </w:p>
        </w:tc>
      </w:tr>
      <w:tr w14:paraId="5EE3FC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30" w:hRule="atLeast"/>
        </w:trPr>
        <w:tc>
          <w:tcPr>
            <w:tcW w:w="2570"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25583FFB">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sz w:val="24"/>
                <w:szCs w:val="24"/>
                <w:highlight w:val="none"/>
                <w:vertAlign w:val="baseline"/>
                <w:lang w:val="en-US" w:eastAsia="zh-CN"/>
              </w:rPr>
            </w:pPr>
            <w:r>
              <w:rPr>
                <w:rFonts w:hint="default" w:ascii="Times New Roman" w:hAnsi="Times New Roman" w:eastAsia="华文仿宋" w:cs="Times New Roman"/>
                <w:sz w:val="24"/>
                <w:szCs w:val="24"/>
                <w:highlight w:val="none"/>
                <w:vertAlign w:val="baseline"/>
                <w:lang w:val="en-US" w:eastAsia="zh-CN"/>
              </w:rPr>
              <w:t>2026</w:t>
            </w:r>
          </w:p>
        </w:tc>
        <w:tc>
          <w:tcPr>
            <w:tcW w:w="2920"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1EBC494A">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sz w:val="24"/>
                <w:szCs w:val="24"/>
                <w:highlight w:val="none"/>
                <w:vertAlign w:val="baseline"/>
                <w:lang w:val="en-US" w:eastAsia="zh-CN"/>
              </w:rPr>
            </w:pPr>
            <w:r>
              <w:rPr>
                <w:rFonts w:hint="default" w:ascii="Times New Roman" w:hAnsi="Times New Roman" w:eastAsia="华文仿宋" w:cs="Times New Roman"/>
                <w:sz w:val="24"/>
                <w:szCs w:val="24"/>
                <w:highlight w:val="none"/>
                <w:vertAlign w:val="baseline"/>
                <w:lang w:val="en-US" w:eastAsia="zh-CN"/>
              </w:rPr>
              <w:t xml:space="preserve">33 </w:t>
            </w:r>
          </w:p>
        </w:tc>
        <w:tc>
          <w:tcPr>
            <w:tcW w:w="3780"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33107F93">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sz w:val="24"/>
                <w:szCs w:val="24"/>
                <w:highlight w:val="none"/>
                <w:vertAlign w:val="baseline"/>
                <w:lang w:val="en-US" w:eastAsia="zh-CN"/>
              </w:rPr>
            </w:pPr>
            <w:r>
              <w:rPr>
                <w:rFonts w:hint="default" w:ascii="Times New Roman" w:hAnsi="Times New Roman" w:eastAsia="华文仿宋" w:cs="Times New Roman"/>
                <w:sz w:val="24"/>
                <w:szCs w:val="24"/>
                <w:highlight w:val="none"/>
                <w:vertAlign w:val="baseline"/>
                <w:lang w:val="en-US" w:eastAsia="zh-CN"/>
              </w:rPr>
              <w:t xml:space="preserve">1.00 </w:t>
            </w:r>
          </w:p>
        </w:tc>
      </w:tr>
      <w:tr w14:paraId="4FD565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30" w:hRule="atLeast"/>
        </w:trPr>
        <w:tc>
          <w:tcPr>
            <w:tcW w:w="2570"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54F5450B">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sz w:val="24"/>
                <w:szCs w:val="24"/>
                <w:highlight w:val="none"/>
                <w:vertAlign w:val="baseline"/>
                <w:lang w:val="en-US" w:eastAsia="zh-CN"/>
              </w:rPr>
            </w:pPr>
            <w:r>
              <w:rPr>
                <w:rFonts w:hint="default" w:ascii="Times New Roman" w:hAnsi="Times New Roman" w:eastAsia="华文仿宋" w:cs="Times New Roman"/>
                <w:sz w:val="24"/>
                <w:szCs w:val="24"/>
                <w:highlight w:val="none"/>
                <w:vertAlign w:val="baseline"/>
                <w:lang w:val="en-US" w:eastAsia="zh-CN"/>
              </w:rPr>
              <w:t>2027</w:t>
            </w:r>
          </w:p>
        </w:tc>
        <w:tc>
          <w:tcPr>
            <w:tcW w:w="2920"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0050701A">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sz w:val="24"/>
                <w:szCs w:val="24"/>
                <w:highlight w:val="none"/>
                <w:vertAlign w:val="baseline"/>
                <w:lang w:val="en-US" w:eastAsia="zh-CN"/>
              </w:rPr>
            </w:pPr>
            <w:r>
              <w:rPr>
                <w:rFonts w:hint="default" w:ascii="Times New Roman" w:hAnsi="Times New Roman" w:eastAsia="华文仿宋" w:cs="Times New Roman"/>
                <w:sz w:val="24"/>
                <w:szCs w:val="24"/>
                <w:highlight w:val="none"/>
                <w:vertAlign w:val="baseline"/>
                <w:lang w:val="en-US" w:eastAsia="zh-CN"/>
              </w:rPr>
              <w:t xml:space="preserve">32 </w:t>
            </w:r>
          </w:p>
        </w:tc>
        <w:tc>
          <w:tcPr>
            <w:tcW w:w="3780"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5E806E87">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sz w:val="24"/>
                <w:szCs w:val="24"/>
                <w:highlight w:val="none"/>
                <w:vertAlign w:val="baseline"/>
                <w:lang w:val="en-US" w:eastAsia="zh-CN"/>
              </w:rPr>
            </w:pPr>
            <w:r>
              <w:rPr>
                <w:rFonts w:hint="default" w:ascii="Times New Roman" w:hAnsi="Times New Roman" w:eastAsia="华文仿宋" w:cs="Times New Roman"/>
                <w:sz w:val="24"/>
                <w:szCs w:val="24"/>
                <w:highlight w:val="none"/>
                <w:vertAlign w:val="baseline"/>
                <w:lang w:val="en-US" w:eastAsia="zh-CN"/>
              </w:rPr>
              <w:t xml:space="preserve">0.95 </w:t>
            </w:r>
          </w:p>
        </w:tc>
      </w:tr>
      <w:tr w14:paraId="068FF5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30" w:hRule="atLeast"/>
        </w:trPr>
        <w:tc>
          <w:tcPr>
            <w:tcW w:w="2570"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2AD69C6F">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sz w:val="24"/>
                <w:szCs w:val="24"/>
                <w:highlight w:val="none"/>
                <w:vertAlign w:val="baseline"/>
                <w:lang w:val="en-US" w:eastAsia="zh-CN"/>
              </w:rPr>
            </w:pPr>
            <w:r>
              <w:rPr>
                <w:rFonts w:hint="default" w:ascii="Times New Roman" w:hAnsi="Times New Roman" w:eastAsia="华文仿宋" w:cs="Times New Roman"/>
                <w:sz w:val="24"/>
                <w:szCs w:val="24"/>
                <w:highlight w:val="none"/>
                <w:vertAlign w:val="baseline"/>
                <w:lang w:val="en-US" w:eastAsia="zh-CN"/>
              </w:rPr>
              <w:t>2028</w:t>
            </w:r>
          </w:p>
        </w:tc>
        <w:tc>
          <w:tcPr>
            <w:tcW w:w="2920"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7E15AF40">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sz w:val="24"/>
                <w:szCs w:val="24"/>
                <w:highlight w:val="none"/>
                <w:vertAlign w:val="baseline"/>
                <w:lang w:val="en-US" w:eastAsia="zh-CN"/>
              </w:rPr>
            </w:pPr>
            <w:r>
              <w:rPr>
                <w:rFonts w:hint="default" w:ascii="Times New Roman" w:hAnsi="Times New Roman" w:eastAsia="华文仿宋" w:cs="Times New Roman"/>
                <w:sz w:val="24"/>
                <w:szCs w:val="24"/>
                <w:highlight w:val="none"/>
                <w:vertAlign w:val="baseline"/>
                <w:lang w:val="en-US" w:eastAsia="zh-CN"/>
              </w:rPr>
              <w:t xml:space="preserve">30 </w:t>
            </w:r>
          </w:p>
        </w:tc>
        <w:tc>
          <w:tcPr>
            <w:tcW w:w="3780"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653B97C2">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sz w:val="24"/>
                <w:szCs w:val="24"/>
                <w:highlight w:val="none"/>
                <w:vertAlign w:val="baseline"/>
                <w:lang w:val="en-US" w:eastAsia="zh-CN"/>
              </w:rPr>
            </w:pPr>
            <w:r>
              <w:rPr>
                <w:rFonts w:hint="default" w:ascii="Times New Roman" w:hAnsi="Times New Roman" w:eastAsia="华文仿宋" w:cs="Times New Roman"/>
                <w:sz w:val="24"/>
                <w:szCs w:val="24"/>
                <w:highlight w:val="none"/>
                <w:vertAlign w:val="baseline"/>
                <w:lang w:val="en-US" w:eastAsia="zh-CN"/>
              </w:rPr>
              <w:t xml:space="preserve">0.91 </w:t>
            </w:r>
          </w:p>
        </w:tc>
      </w:tr>
      <w:tr w14:paraId="13E84E8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30" w:hRule="atLeast"/>
        </w:trPr>
        <w:tc>
          <w:tcPr>
            <w:tcW w:w="2570"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00F09D09">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sz w:val="24"/>
                <w:szCs w:val="24"/>
                <w:highlight w:val="none"/>
                <w:vertAlign w:val="baseline"/>
                <w:lang w:val="en-US" w:eastAsia="zh-CN"/>
              </w:rPr>
            </w:pPr>
            <w:r>
              <w:rPr>
                <w:rFonts w:hint="default" w:ascii="Times New Roman" w:hAnsi="Times New Roman" w:eastAsia="华文仿宋" w:cs="Times New Roman"/>
                <w:sz w:val="24"/>
                <w:szCs w:val="24"/>
                <w:highlight w:val="none"/>
                <w:vertAlign w:val="baseline"/>
                <w:lang w:val="en-US" w:eastAsia="zh-CN"/>
              </w:rPr>
              <w:t>2029</w:t>
            </w:r>
          </w:p>
        </w:tc>
        <w:tc>
          <w:tcPr>
            <w:tcW w:w="2920"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30056883">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sz w:val="24"/>
                <w:szCs w:val="24"/>
                <w:highlight w:val="none"/>
                <w:vertAlign w:val="baseline"/>
                <w:lang w:val="en-US" w:eastAsia="zh-CN"/>
              </w:rPr>
            </w:pPr>
            <w:r>
              <w:rPr>
                <w:rFonts w:hint="default" w:ascii="Times New Roman" w:hAnsi="Times New Roman" w:eastAsia="华文仿宋" w:cs="Times New Roman"/>
                <w:sz w:val="24"/>
                <w:szCs w:val="24"/>
                <w:highlight w:val="none"/>
                <w:vertAlign w:val="baseline"/>
                <w:lang w:val="en-US" w:eastAsia="zh-CN"/>
              </w:rPr>
              <w:t xml:space="preserve">29 </w:t>
            </w:r>
          </w:p>
        </w:tc>
        <w:tc>
          <w:tcPr>
            <w:tcW w:w="3780"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031E0E50">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sz w:val="24"/>
                <w:szCs w:val="24"/>
                <w:highlight w:val="none"/>
                <w:vertAlign w:val="baseline"/>
                <w:lang w:val="en-US" w:eastAsia="zh-CN"/>
              </w:rPr>
            </w:pPr>
            <w:r>
              <w:rPr>
                <w:rFonts w:hint="default" w:ascii="Times New Roman" w:hAnsi="Times New Roman" w:eastAsia="华文仿宋" w:cs="Times New Roman"/>
                <w:sz w:val="24"/>
                <w:szCs w:val="24"/>
                <w:highlight w:val="none"/>
                <w:vertAlign w:val="baseline"/>
                <w:lang w:val="en-US" w:eastAsia="zh-CN"/>
              </w:rPr>
              <w:t xml:space="preserve">0.86 </w:t>
            </w:r>
          </w:p>
        </w:tc>
      </w:tr>
      <w:tr w14:paraId="799B0C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30" w:hRule="atLeast"/>
        </w:trPr>
        <w:tc>
          <w:tcPr>
            <w:tcW w:w="2570"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3C9D7AFC">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sz w:val="24"/>
                <w:szCs w:val="24"/>
                <w:highlight w:val="none"/>
                <w:vertAlign w:val="baseline"/>
                <w:lang w:val="en-US" w:eastAsia="zh-CN"/>
              </w:rPr>
            </w:pPr>
            <w:r>
              <w:rPr>
                <w:rFonts w:hint="default" w:ascii="Times New Roman" w:hAnsi="Times New Roman" w:eastAsia="华文仿宋" w:cs="Times New Roman"/>
                <w:sz w:val="24"/>
                <w:szCs w:val="24"/>
                <w:highlight w:val="none"/>
                <w:vertAlign w:val="baseline"/>
                <w:lang w:val="en-US" w:eastAsia="zh-CN"/>
              </w:rPr>
              <w:t>2030</w:t>
            </w:r>
          </w:p>
        </w:tc>
        <w:tc>
          <w:tcPr>
            <w:tcW w:w="2920"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4D19C95C">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sz w:val="24"/>
                <w:szCs w:val="24"/>
                <w:highlight w:val="none"/>
                <w:vertAlign w:val="baseline"/>
                <w:lang w:val="en-US" w:eastAsia="zh-CN"/>
              </w:rPr>
            </w:pPr>
            <w:r>
              <w:rPr>
                <w:rFonts w:hint="default" w:ascii="Times New Roman" w:hAnsi="Times New Roman" w:eastAsia="华文仿宋" w:cs="Times New Roman"/>
                <w:sz w:val="24"/>
                <w:szCs w:val="24"/>
                <w:highlight w:val="none"/>
                <w:vertAlign w:val="baseline"/>
                <w:lang w:val="en-US" w:eastAsia="zh-CN"/>
              </w:rPr>
              <w:t xml:space="preserve">27 </w:t>
            </w:r>
          </w:p>
        </w:tc>
        <w:tc>
          <w:tcPr>
            <w:tcW w:w="3780"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1E0D5044">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sz w:val="24"/>
                <w:szCs w:val="24"/>
                <w:highlight w:val="none"/>
                <w:vertAlign w:val="baseline"/>
                <w:lang w:val="en-US" w:eastAsia="zh-CN"/>
              </w:rPr>
            </w:pPr>
            <w:r>
              <w:rPr>
                <w:rFonts w:hint="default" w:ascii="Times New Roman" w:hAnsi="Times New Roman" w:eastAsia="华文仿宋" w:cs="Times New Roman"/>
                <w:sz w:val="24"/>
                <w:szCs w:val="24"/>
                <w:highlight w:val="none"/>
                <w:vertAlign w:val="baseline"/>
                <w:lang w:val="en-US" w:eastAsia="zh-CN"/>
              </w:rPr>
              <w:t xml:space="preserve">0.82 </w:t>
            </w:r>
          </w:p>
        </w:tc>
      </w:tr>
      <w:tr w14:paraId="737C0AD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30" w:hRule="atLeast"/>
        </w:trPr>
        <w:tc>
          <w:tcPr>
            <w:tcW w:w="2570"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6E0345FE">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sz w:val="24"/>
                <w:szCs w:val="24"/>
                <w:highlight w:val="none"/>
                <w:vertAlign w:val="baseline"/>
                <w:lang w:val="en-US" w:eastAsia="zh-CN"/>
              </w:rPr>
            </w:pPr>
            <w:r>
              <w:rPr>
                <w:rFonts w:hint="default" w:ascii="Times New Roman" w:hAnsi="Times New Roman" w:eastAsia="华文仿宋" w:cs="Times New Roman"/>
                <w:sz w:val="24"/>
                <w:szCs w:val="24"/>
                <w:highlight w:val="none"/>
                <w:vertAlign w:val="baseline"/>
                <w:lang w:val="en-US" w:eastAsia="zh-CN"/>
              </w:rPr>
              <w:t>2031</w:t>
            </w:r>
          </w:p>
        </w:tc>
        <w:tc>
          <w:tcPr>
            <w:tcW w:w="2920"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04637818">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sz w:val="24"/>
                <w:szCs w:val="24"/>
                <w:highlight w:val="none"/>
                <w:vertAlign w:val="baseline"/>
                <w:lang w:val="en-US" w:eastAsia="zh-CN"/>
              </w:rPr>
            </w:pPr>
            <w:r>
              <w:rPr>
                <w:rFonts w:hint="default" w:ascii="Times New Roman" w:hAnsi="Times New Roman" w:eastAsia="华文仿宋" w:cs="Times New Roman"/>
                <w:sz w:val="24"/>
                <w:szCs w:val="24"/>
                <w:highlight w:val="none"/>
                <w:vertAlign w:val="baseline"/>
                <w:lang w:val="en-US" w:eastAsia="zh-CN"/>
              </w:rPr>
              <w:t xml:space="preserve">26 </w:t>
            </w:r>
          </w:p>
        </w:tc>
        <w:tc>
          <w:tcPr>
            <w:tcW w:w="3780"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48ECFED0">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sz w:val="24"/>
                <w:szCs w:val="24"/>
                <w:highlight w:val="none"/>
                <w:vertAlign w:val="baseline"/>
                <w:lang w:val="en-US" w:eastAsia="zh-CN"/>
              </w:rPr>
            </w:pPr>
            <w:r>
              <w:rPr>
                <w:rFonts w:hint="default" w:ascii="Times New Roman" w:hAnsi="Times New Roman" w:eastAsia="华文仿宋" w:cs="Times New Roman"/>
                <w:sz w:val="24"/>
                <w:szCs w:val="24"/>
                <w:highlight w:val="none"/>
                <w:vertAlign w:val="baseline"/>
                <w:lang w:val="en-US" w:eastAsia="zh-CN"/>
              </w:rPr>
              <w:t xml:space="preserve">0.78 </w:t>
            </w:r>
          </w:p>
        </w:tc>
      </w:tr>
      <w:tr w14:paraId="66C631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30" w:hRule="atLeast"/>
        </w:trPr>
        <w:tc>
          <w:tcPr>
            <w:tcW w:w="2570"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47FE7FE1">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sz w:val="24"/>
                <w:szCs w:val="24"/>
                <w:highlight w:val="none"/>
                <w:vertAlign w:val="baseline"/>
                <w:lang w:val="en-US" w:eastAsia="zh-CN"/>
              </w:rPr>
            </w:pPr>
            <w:r>
              <w:rPr>
                <w:rFonts w:hint="default" w:ascii="Times New Roman" w:hAnsi="Times New Roman" w:eastAsia="华文仿宋" w:cs="Times New Roman"/>
                <w:sz w:val="24"/>
                <w:szCs w:val="24"/>
                <w:highlight w:val="none"/>
                <w:vertAlign w:val="baseline"/>
                <w:lang w:val="en-US" w:eastAsia="zh-CN"/>
              </w:rPr>
              <w:t>2032</w:t>
            </w:r>
          </w:p>
        </w:tc>
        <w:tc>
          <w:tcPr>
            <w:tcW w:w="2920"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774D1BB4">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sz w:val="24"/>
                <w:szCs w:val="24"/>
                <w:highlight w:val="none"/>
                <w:vertAlign w:val="baseline"/>
                <w:lang w:val="en-US" w:eastAsia="zh-CN"/>
              </w:rPr>
            </w:pPr>
            <w:r>
              <w:rPr>
                <w:rFonts w:hint="default" w:ascii="Times New Roman" w:hAnsi="Times New Roman" w:eastAsia="华文仿宋" w:cs="Times New Roman"/>
                <w:sz w:val="24"/>
                <w:szCs w:val="24"/>
                <w:highlight w:val="none"/>
                <w:vertAlign w:val="baseline"/>
                <w:lang w:val="en-US" w:eastAsia="zh-CN"/>
              </w:rPr>
              <w:t xml:space="preserve">25 </w:t>
            </w:r>
          </w:p>
        </w:tc>
        <w:tc>
          <w:tcPr>
            <w:tcW w:w="3780"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7BF8E895">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sz w:val="24"/>
                <w:szCs w:val="24"/>
                <w:highlight w:val="none"/>
                <w:vertAlign w:val="baseline"/>
                <w:lang w:val="en-US" w:eastAsia="zh-CN"/>
              </w:rPr>
            </w:pPr>
            <w:r>
              <w:rPr>
                <w:rFonts w:hint="default" w:ascii="Times New Roman" w:hAnsi="Times New Roman" w:eastAsia="华文仿宋" w:cs="Times New Roman"/>
                <w:sz w:val="24"/>
                <w:szCs w:val="24"/>
                <w:highlight w:val="none"/>
                <w:vertAlign w:val="baseline"/>
                <w:lang w:val="en-US" w:eastAsia="zh-CN"/>
              </w:rPr>
              <w:t xml:space="preserve">0.74 </w:t>
            </w:r>
          </w:p>
        </w:tc>
      </w:tr>
      <w:tr w14:paraId="536BAE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30" w:hRule="atLeast"/>
        </w:trPr>
        <w:tc>
          <w:tcPr>
            <w:tcW w:w="2570"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6BF0462F">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sz w:val="24"/>
                <w:szCs w:val="24"/>
                <w:highlight w:val="none"/>
                <w:vertAlign w:val="baseline"/>
                <w:lang w:val="en-US" w:eastAsia="zh-CN"/>
              </w:rPr>
            </w:pPr>
            <w:r>
              <w:rPr>
                <w:rFonts w:hint="default" w:ascii="Times New Roman" w:hAnsi="Times New Roman" w:eastAsia="华文仿宋" w:cs="Times New Roman"/>
                <w:sz w:val="24"/>
                <w:szCs w:val="24"/>
                <w:highlight w:val="none"/>
                <w:vertAlign w:val="baseline"/>
                <w:lang w:val="en-US" w:eastAsia="zh-CN"/>
              </w:rPr>
              <w:t>2033</w:t>
            </w:r>
          </w:p>
        </w:tc>
        <w:tc>
          <w:tcPr>
            <w:tcW w:w="2920"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671E6E4E">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sz w:val="24"/>
                <w:szCs w:val="24"/>
                <w:highlight w:val="none"/>
                <w:vertAlign w:val="baseline"/>
                <w:lang w:val="en-US" w:eastAsia="zh-CN"/>
              </w:rPr>
            </w:pPr>
            <w:r>
              <w:rPr>
                <w:rFonts w:hint="default" w:ascii="Times New Roman" w:hAnsi="Times New Roman" w:eastAsia="华文仿宋" w:cs="Times New Roman"/>
                <w:sz w:val="24"/>
                <w:szCs w:val="24"/>
                <w:highlight w:val="none"/>
                <w:vertAlign w:val="baseline"/>
                <w:lang w:val="en-US" w:eastAsia="zh-CN"/>
              </w:rPr>
              <w:t xml:space="preserve">23 </w:t>
            </w:r>
          </w:p>
        </w:tc>
        <w:tc>
          <w:tcPr>
            <w:tcW w:w="3780"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2117C41D">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sz w:val="24"/>
                <w:szCs w:val="24"/>
                <w:highlight w:val="none"/>
                <w:vertAlign w:val="baseline"/>
                <w:lang w:val="en-US" w:eastAsia="zh-CN"/>
              </w:rPr>
            </w:pPr>
            <w:r>
              <w:rPr>
                <w:rFonts w:hint="default" w:ascii="Times New Roman" w:hAnsi="Times New Roman" w:eastAsia="华文仿宋" w:cs="Times New Roman"/>
                <w:sz w:val="24"/>
                <w:szCs w:val="24"/>
                <w:highlight w:val="none"/>
                <w:vertAlign w:val="baseline"/>
                <w:lang w:val="en-US" w:eastAsia="zh-CN"/>
              </w:rPr>
              <w:t xml:space="preserve">0.70 </w:t>
            </w:r>
          </w:p>
        </w:tc>
      </w:tr>
      <w:tr w14:paraId="6FB91E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30" w:hRule="atLeast"/>
        </w:trPr>
        <w:tc>
          <w:tcPr>
            <w:tcW w:w="2570"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196102E5">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sz w:val="24"/>
                <w:szCs w:val="24"/>
                <w:highlight w:val="none"/>
                <w:vertAlign w:val="baseline"/>
                <w:lang w:val="en-US" w:eastAsia="zh-CN"/>
              </w:rPr>
            </w:pPr>
            <w:r>
              <w:rPr>
                <w:rFonts w:hint="default" w:ascii="Times New Roman" w:hAnsi="Times New Roman" w:eastAsia="华文仿宋" w:cs="Times New Roman"/>
                <w:sz w:val="24"/>
                <w:szCs w:val="24"/>
                <w:highlight w:val="none"/>
                <w:vertAlign w:val="baseline"/>
                <w:lang w:val="en-US" w:eastAsia="zh-CN"/>
              </w:rPr>
              <w:t>2034</w:t>
            </w:r>
          </w:p>
        </w:tc>
        <w:tc>
          <w:tcPr>
            <w:tcW w:w="2920"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6BAED725">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sz w:val="24"/>
                <w:szCs w:val="24"/>
                <w:highlight w:val="none"/>
                <w:vertAlign w:val="baseline"/>
                <w:lang w:val="en-US" w:eastAsia="zh-CN"/>
              </w:rPr>
            </w:pPr>
            <w:r>
              <w:rPr>
                <w:rFonts w:hint="default" w:ascii="Times New Roman" w:hAnsi="Times New Roman" w:eastAsia="华文仿宋" w:cs="Times New Roman"/>
                <w:sz w:val="24"/>
                <w:szCs w:val="24"/>
                <w:highlight w:val="none"/>
                <w:vertAlign w:val="baseline"/>
                <w:lang w:val="en-US" w:eastAsia="zh-CN"/>
              </w:rPr>
              <w:t xml:space="preserve">22 </w:t>
            </w:r>
          </w:p>
        </w:tc>
        <w:tc>
          <w:tcPr>
            <w:tcW w:w="3780"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3BC168C6">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sz w:val="24"/>
                <w:szCs w:val="24"/>
                <w:highlight w:val="none"/>
                <w:vertAlign w:val="baseline"/>
                <w:lang w:val="en-US" w:eastAsia="zh-CN"/>
              </w:rPr>
            </w:pPr>
            <w:r>
              <w:rPr>
                <w:rFonts w:hint="default" w:ascii="Times New Roman" w:hAnsi="Times New Roman" w:eastAsia="华文仿宋" w:cs="Times New Roman"/>
                <w:sz w:val="24"/>
                <w:szCs w:val="24"/>
                <w:highlight w:val="none"/>
                <w:vertAlign w:val="baseline"/>
                <w:lang w:val="en-US" w:eastAsia="zh-CN"/>
              </w:rPr>
              <w:t xml:space="preserve">0.67 </w:t>
            </w:r>
          </w:p>
        </w:tc>
      </w:tr>
      <w:tr w14:paraId="0CCC46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30" w:hRule="atLeast"/>
        </w:trPr>
        <w:tc>
          <w:tcPr>
            <w:tcW w:w="2570"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410F72FA">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sz w:val="24"/>
                <w:szCs w:val="24"/>
                <w:highlight w:val="none"/>
                <w:vertAlign w:val="baseline"/>
                <w:lang w:val="en-US" w:eastAsia="zh-CN"/>
              </w:rPr>
            </w:pPr>
            <w:r>
              <w:rPr>
                <w:rFonts w:hint="default" w:ascii="Times New Roman" w:hAnsi="Times New Roman" w:eastAsia="华文仿宋" w:cs="Times New Roman"/>
                <w:sz w:val="24"/>
                <w:szCs w:val="24"/>
                <w:highlight w:val="none"/>
                <w:vertAlign w:val="baseline"/>
                <w:lang w:val="en-US" w:eastAsia="zh-CN"/>
              </w:rPr>
              <w:t>2035</w:t>
            </w:r>
          </w:p>
        </w:tc>
        <w:tc>
          <w:tcPr>
            <w:tcW w:w="2920"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63E1F6EE">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sz w:val="24"/>
                <w:szCs w:val="24"/>
                <w:highlight w:val="none"/>
                <w:vertAlign w:val="baseline"/>
                <w:lang w:val="en-US" w:eastAsia="zh-CN"/>
              </w:rPr>
            </w:pPr>
            <w:r>
              <w:rPr>
                <w:rFonts w:hint="default" w:ascii="Times New Roman" w:hAnsi="Times New Roman" w:eastAsia="华文仿宋" w:cs="Times New Roman"/>
                <w:sz w:val="24"/>
                <w:szCs w:val="24"/>
                <w:highlight w:val="none"/>
                <w:vertAlign w:val="baseline"/>
                <w:lang w:val="en-US" w:eastAsia="zh-CN"/>
              </w:rPr>
              <w:t xml:space="preserve">21 </w:t>
            </w:r>
          </w:p>
        </w:tc>
        <w:tc>
          <w:tcPr>
            <w:tcW w:w="3780"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7DEE9A05">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sz w:val="24"/>
                <w:szCs w:val="24"/>
                <w:highlight w:val="none"/>
                <w:vertAlign w:val="baseline"/>
                <w:lang w:val="en-US" w:eastAsia="zh-CN"/>
              </w:rPr>
            </w:pPr>
            <w:r>
              <w:rPr>
                <w:rFonts w:hint="default" w:ascii="Times New Roman" w:hAnsi="Times New Roman" w:eastAsia="华文仿宋" w:cs="Times New Roman"/>
                <w:sz w:val="24"/>
                <w:szCs w:val="24"/>
                <w:highlight w:val="none"/>
                <w:vertAlign w:val="baseline"/>
                <w:lang w:val="en-US" w:eastAsia="zh-CN"/>
              </w:rPr>
              <w:t xml:space="preserve">0.63 </w:t>
            </w:r>
          </w:p>
        </w:tc>
      </w:tr>
      <w:tr w14:paraId="407554B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00" w:hRule="atLeast"/>
        </w:trPr>
        <w:tc>
          <w:tcPr>
            <w:tcW w:w="2570" w:type="dxa"/>
            <w:tcBorders>
              <w:top w:val="nil"/>
              <w:left w:val="single" w:color="000000" w:sz="8" w:space="0"/>
              <w:bottom w:val="single" w:color="000000" w:sz="8" w:space="0"/>
              <w:right w:val="single" w:color="000000" w:sz="8" w:space="0"/>
            </w:tcBorders>
            <w:shd w:val="clear" w:color="auto" w:fill="auto"/>
            <w:noWrap/>
            <w:tcMar>
              <w:top w:w="15" w:type="dxa"/>
              <w:left w:w="15" w:type="dxa"/>
              <w:right w:w="15" w:type="dxa"/>
            </w:tcMar>
            <w:vAlign w:val="top"/>
          </w:tcPr>
          <w:p w14:paraId="4BCB5E00">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仿宋_GB2312" w:hAnsi="仿宋_GB2312" w:eastAsia="仿宋_GB2312" w:cs="仿宋_GB2312"/>
                <w:sz w:val="24"/>
                <w:szCs w:val="24"/>
                <w:highlight w:val="none"/>
                <w:vertAlign w:val="baseline"/>
                <w:lang w:val="en-US" w:eastAsia="zh-CN"/>
              </w:rPr>
            </w:pPr>
            <w:r>
              <w:rPr>
                <w:rFonts w:hint="eastAsia" w:ascii="仿宋_GB2312" w:hAnsi="仿宋_GB2312" w:eastAsia="仿宋_GB2312" w:cs="仿宋_GB2312"/>
                <w:sz w:val="24"/>
                <w:szCs w:val="24"/>
                <w:highlight w:val="none"/>
                <w:vertAlign w:val="baseline"/>
                <w:lang w:val="en-US" w:eastAsia="zh-CN"/>
              </w:rPr>
              <w:t>近期</w:t>
            </w:r>
            <w:r>
              <w:rPr>
                <w:rFonts w:hint="default" w:ascii="Times New Roman" w:hAnsi="Times New Roman" w:eastAsia="仿宋_GB2312" w:cs="Times New Roman"/>
                <w:sz w:val="24"/>
                <w:szCs w:val="24"/>
                <w:highlight w:val="none"/>
                <w:vertAlign w:val="baseline"/>
                <w:lang w:val="en-US" w:eastAsia="zh-CN"/>
              </w:rPr>
              <w:t>2024</w:t>
            </w:r>
            <w:r>
              <w:rPr>
                <w:rFonts w:hint="eastAsia" w:ascii="仿宋_GB2312" w:hAnsi="仿宋_GB2312" w:eastAsia="仿宋_GB2312" w:cs="仿宋_GB2312"/>
                <w:sz w:val="24"/>
                <w:szCs w:val="24"/>
                <w:highlight w:val="none"/>
                <w:vertAlign w:val="baseline"/>
                <w:lang w:val="en-US" w:eastAsia="zh-CN"/>
              </w:rPr>
              <w:t>—</w:t>
            </w:r>
            <w:r>
              <w:rPr>
                <w:rFonts w:hint="default" w:ascii="Times New Roman" w:hAnsi="Times New Roman" w:eastAsia="仿宋_GB2312" w:cs="Times New Roman"/>
                <w:sz w:val="24"/>
                <w:szCs w:val="24"/>
                <w:highlight w:val="none"/>
                <w:vertAlign w:val="baseline"/>
                <w:lang w:val="en-US" w:eastAsia="zh-CN"/>
              </w:rPr>
              <w:t>2030</w:t>
            </w:r>
            <w:r>
              <w:rPr>
                <w:rFonts w:hint="eastAsia" w:ascii="仿宋_GB2312" w:hAnsi="仿宋_GB2312" w:eastAsia="仿宋_GB2312" w:cs="仿宋_GB2312"/>
                <w:sz w:val="24"/>
                <w:szCs w:val="24"/>
                <w:highlight w:val="none"/>
                <w:vertAlign w:val="baseline"/>
                <w:lang w:val="en-US" w:eastAsia="zh-CN"/>
              </w:rPr>
              <w:t>(万吨)</w:t>
            </w:r>
          </w:p>
        </w:tc>
        <w:tc>
          <w:tcPr>
            <w:tcW w:w="2920"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1E8B80AA">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color w:val="FF0000"/>
                <w:sz w:val="24"/>
                <w:szCs w:val="24"/>
                <w:highlight w:val="yellow"/>
                <w:vertAlign w:val="baseline"/>
                <w:lang w:val="en-US" w:eastAsia="zh-CN"/>
              </w:rPr>
            </w:pPr>
          </w:p>
        </w:tc>
        <w:tc>
          <w:tcPr>
            <w:tcW w:w="3780"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002F406E">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sz w:val="24"/>
                <w:szCs w:val="24"/>
                <w:highlight w:val="none"/>
                <w:vertAlign w:val="baseline"/>
                <w:lang w:val="en-US" w:eastAsia="zh-CN"/>
              </w:rPr>
            </w:pPr>
            <w:r>
              <w:rPr>
                <w:rFonts w:hint="default" w:ascii="Times New Roman" w:hAnsi="Times New Roman" w:eastAsia="华文仿宋" w:cs="Times New Roman"/>
                <w:sz w:val="24"/>
                <w:szCs w:val="24"/>
                <w:highlight w:val="none"/>
                <w:vertAlign w:val="baseline"/>
                <w:lang w:val="en-US" w:eastAsia="zh-CN"/>
              </w:rPr>
              <w:t>6.71</w:t>
            </w:r>
          </w:p>
        </w:tc>
      </w:tr>
      <w:tr w14:paraId="10BD19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trPr>
        <w:tc>
          <w:tcPr>
            <w:tcW w:w="2570" w:type="dxa"/>
            <w:tcBorders>
              <w:top w:val="nil"/>
              <w:left w:val="single" w:color="000000" w:sz="8" w:space="0"/>
              <w:bottom w:val="single" w:color="000000" w:sz="8" w:space="0"/>
              <w:right w:val="single" w:color="000000" w:sz="8" w:space="0"/>
            </w:tcBorders>
            <w:shd w:val="clear" w:color="auto" w:fill="auto"/>
            <w:noWrap/>
            <w:tcMar>
              <w:top w:w="15" w:type="dxa"/>
              <w:left w:w="15" w:type="dxa"/>
              <w:right w:w="15" w:type="dxa"/>
            </w:tcMar>
            <w:vAlign w:val="top"/>
          </w:tcPr>
          <w:p w14:paraId="41E67457">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仿宋_GB2312" w:hAnsi="仿宋_GB2312" w:eastAsia="仿宋_GB2312" w:cs="仿宋_GB2312"/>
                <w:sz w:val="24"/>
                <w:szCs w:val="24"/>
                <w:highlight w:val="none"/>
                <w:vertAlign w:val="baseline"/>
                <w:lang w:val="en-US" w:eastAsia="zh-CN"/>
              </w:rPr>
            </w:pPr>
            <w:r>
              <w:rPr>
                <w:rFonts w:hint="eastAsia" w:ascii="仿宋_GB2312" w:hAnsi="仿宋_GB2312" w:eastAsia="仿宋_GB2312" w:cs="仿宋_GB2312"/>
                <w:sz w:val="24"/>
                <w:szCs w:val="24"/>
                <w:highlight w:val="none"/>
                <w:vertAlign w:val="baseline"/>
                <w:lang w:val="en-US" w:eastAsia="zh-CN"/>
              </w:rPr>
              <w:t>远期</w:t>
            </w:r>
            <w:r>
              <w:rPr>
                <w:rFonts w:hint="default" w:ascii="Times New Roman" w:hAnsi="Times New Roman" w:eastAsia="仿宋_GB2312" w:cs="Times New Roman"/>
                <w:sz w:val="24"/>
                <w:szCs w:val="24"/>
                <w:highlight w:val="none"/>
                <w:vertAlign w:val="baseline"/>
                <w:lang w:val="en-US" w:eastAsia="zh-CN"/>
              </w:rPr>
              <w:t>2031</w:t>
            </w:r>
            <w:r>
              <w:rPr>
                <w:rFonts w:hint="eastAsia" w:ascii="仿宋_GB2312" w:hAnsi="仿宋_GB2312" w:eastAsia="仿宋_GB2312" w:cs="仿宋_GB2312"/>
                <w:sz w:val="24"/>
                <w:szCs w:val="24"/>
                <w:highlight w:val="none"/>
                <w:vertAlign w:val="baseline"/>
                <w:lang w:val="en-US" w:eastAsia="zh-CN"/>
              </w:rPr>
              <w:t>—</w:t>
            </w:r>
            <w:r>
              <w:rPr>
                <w:rFonts w:hint="default" w:ascii="Times New Roman" w:hAnsi="Times New Roman" w:eastAsia="仿宋_GB2312" w:cs="Times New Roman"/>
                <w:sz w:val="24"/>
                <w:szCs w:val="24"/>
                <w:highlight w:val="none"/>
                <w:vertAlign w:val="baseline"/>
                <w:lang w:val="en-US" w:eastAsia="zh-CN"/>
              </w:rPr>
              <w:t>2035</w:t>
            </w:r>
            <w:r>
              <w:rPr>
                <w:rFonts w:hint="eastAsia" w:ascii="仿宋_GB2312" w:hAnsi="仿宋_GB2312" w:eastAsia="仿宋_GB2312" w:cs="仿宋_GB2312"/>
                <w:sz w:val="24"/>
                <w:szCs w:val="24"/>
                <w:highlight w:val="none"/>
                <w:vertAlign w:val="baseline"/>
                <w:lang w:val="en-US" w:eastAsia="zh-CN"/>
              </w:rPr>
              <w:t>(万吨)</w:t>
            </w:r>
          </w:p>
        </w:tc>
        <w:tc>
          <w:tcPr>
            <w:tcW w:w="2920"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3807CE5A">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color w:val="FF0000"/>
                <w:sz w:val="24"/>
                <w:szCs w:val="24"/>
                <w:highlight w:val="yellow"/>
                <w:vertAlign w:val="baseline"/>
                <w:lang w:val="en-US" w:eastAsia="zh-CN"/>
              </w:rPr>
            </w:pPr>
          </w:p>
        </w:tc>
        <w:tc>
          <w:tcPr>
            <w:tcW w:w="3780"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42A2BD01">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sz w:val="24"/>
                <w:szCs w:val="24"/>
                <w:highlight w:val="none"/>
                <w:vertAlign w:val="baseline"/>
                <w:lang w:val="en-US" w:eastAsia="zh-CN"/>
              </w:rPr>
            </w:pPr>
            <w:r>
              <w:rPr>
                <w:rFonts w:hint="default" w:ascii="Times New Roman" w:hAnsi="Times New Roman" w:eastAsia="华文仿宋" w:cs="Times New Roman"/>
                <w:sz w:val="24"/>
                <w:szCs w:val="24"/>
                <w:highlight w:val="none"/>
                <w:vertAlign w:val="baseline"/>
                <w:lang w:val="en-US" w:eastAsia="zh-CN"/>
              </w:rPr>
              <w:t>3.51</w:t>
            </w:r>
          </w:p>
        </w:tc>
      </w:tr>
    </w:tbl>
    <w:p w14:paraId="600E93BC">
      <w:pPr>
        <w:pageBreakBefore w:val="0"/>
        <w:kinsoku/>
        <w:wordWrap/>
        <w:topLinePunct w:val="0"/>
        <w:bidi w:val="0"/>
        <w:spacing w:beforeAutospacing="0" w:afterAutospacing="0" w:line="560" w:lineRule="exact"/>
        <w:ind w:left="0" w:leftChars="0" w:firstLine="640" w:firstLineChars="200"/>
        <w:rPr>
          <w:rFonts w:hint="default" w:ascii="Times New Roman" w:hAnsi="Times New Roman" w:eastAsia="仿宋_GB2312" w:cs="Times New Roman"/>
          <w:b w:val="0"/>
          <w:bCs w:val="0"/>
          <w:color w:val="auto"/>
          <w:sz w:val="32"/>
          <w:szCs w:val="32"/>
          <w:highlight w:val="none"/>
          <w:u w:val="none"/>
          <w:lang w:val="en-US" w:eastAsia="zh-CN"/>
        </w:rPr>
      </w:pPr>
    </w:p>
    <w:p w14:paraId="7DA568FB">
      <w:pPr>
        <w:pageBreakBefore w:val="0"/>
        <w:kinsoku/>
        <w:wordWrap/>
        <w:topLinePunct w:val="0"/>
        <w:bidi w:val="0"/>
        <w:spacing w:beforeAutospacing="0" w:afterAutospacing="0" w:line="560" w:lineRule="exact"/>
        <w:ind w:left="0" w:leftChars="0" w:firstLine="640" w:firstLineChars="200"/>
        <w:rPr>
          <w:rFonts w:hint="default" w:ascii="Times New Roman" w:hAnsi="Times New Roman" w:eastAsia="仿宋_GB2312" w:cs="Times New Roman"/>
          <w:b w:val="0"/>
          <w:bCs w:val="0"/>
          <w:color w:val="auto"/>
          <w:sz w:val="32"/>
          <w:szCs w:val="32"/>
          <w:highlight w:val="none"/>
          <w:u w:val="none"/>
          <w:lang w:val="en-US" w:eastAsia="zh-CN"/>
        </w:rPr>
      </w:pPr>
      <w:r>
        <w:rPr>
          <w:rFonts w:hint="default" w:ascii="Times New Roman" w:hAnsi="Times New Roman" w:eastAsia="仿宋_GB2312" w:cs="Times New Roman"/>
          <w:b w:val="0"/>
          <w:bCs w:val="0"/>
          <w:color w:val="auto"/>
          <w:sz w:val="32"/>
          <w:szCs w:val="32"/>
          <w:highlight w:val="none"/>
          <w:u w:val="none"/>
          <w:lang w:val="en-US" w:eastAsia="zh-CN"/>
        </w:rPr>
        <w:t>4．拆除垃圾预测</w:t>
      </w:r>
    </w:p>
    <w:p w14:paraId="439DB100">
      <w:pPr>
        <w:pageBreakBefore w:val="0"/>
        <w:kinsoku/>
        <w:wordWrap/>
        <w:topLinePunct w:val="0"/>
        <w:bidi w:val="0"/>
        <w:spacing w:beforeAutospacing="0" w:afterAutospacing="0" w:line="560" w:lineRule="exact"/>
        <w:ind w:left="0" w:leftChars="0" w:firstLine="640" w:firstLineChars="200"/>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（1）拆除垃圾的预测方法：</w:t>
      </w:r>
    </w:p>
    <w:p w14:paraId="794CC460">
      <w:pPr>
        <w:pageBreakBefore w:val="0"/>
        <w:kinsoku/>
        <w:wordWrap/>
        <w:topLinePunct w:val="0"/>
        <w:bidi w:val="0"/>
        <w:spacing w:beforeAutospacing="0" w:afterAutospacing="0" w:line="560" w:lineRule="exact"/>
        <w:ind w:left="0" w:leftChars="0" w:firstLine="640" w:firstLineChars="200"/>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M</w:t>
      </w:r>
      <w:r>
        <w:rPr>
          <w:rFonts w:hint="default" w:ascii="Times New Roman" w:hAnsi="Times New Roman" w:eastAsia="仿宋_GB2312" w:cs="Times New Roman"/>
          <w:color w:val="auto"/>
          <w:sz w:val="32"/>
          <w:szCs w:val="32"/>
          <w:highlight w:val="none"/>
          <w:u w:val="none"/>
          <w:vertAlign w:val="subscript"/>
        </w:rPr>
        <w:t>c</w:t>
      </w:r>
      <w:r>
        <w:rPr>
          <w:rFonts w:hint="default" w:ascii="Times New Roman" w:hAnsi="Times New Roman" w:eastAsia="仿宋_GB2312" w:cs="Times New Roman"/>
          <w:color w:val="auto"/>
          <w:sz w:val="32"/>
          <w:szCs w:val="32"/>
          <w:highlight w:val="none"/>
          <w:u w:val="none"/>
        </w:rPr>
        <w:t>=R</w:t>
      </w:r>
      <w:r>
        <w:rPr>
          <w:rFonts w:hint="default" w:ascii="Times New Roman" w:hAnsi="Times New Roman" w:eastAsia="仿宋_GB2312" w:cs="Times New Roman"/>
          <w:color w:val="auto"/>
          <w:sz w:val="32"/>
          <w:szCs w:val="32"/>
          <w:highlight w:val="none"/>
          <w:u w:val="none"/>
          <w:vertAlign w:val="subscript"/>
        </w:rPr>
        <w:t>c</w:t>
      </w:r>
      <w:r>
        <w:rPr>
          <w:rFonts w:hint="default" w:ascii="Times New Roman" w:hAnsi="Times New Roman" w:eastAsia="仿宋_GB2312" w:cs="Times New Roman"/>
          <w:color w:val="auto"/>
          <w:sz w:val="32"/>
          <w:szCs w:val="32"/>
          <w:highlight w:val="none"/>
          <w:u w:val="none"/>
        </w:rPr>
        <w:t>×m</w:t>
      </w:r>
      <w:r>
        <w:rPr>
          <w:rFonts w:hint="default" w:ascii="Times New Roman" w:hAnsi="Times New Roman" w:eastAsia="仿宋_GB2312" w:cs="Times New Roman"/>
          <w:color w:val="auto"/>
          <w:sz w:val="32"/>
          <w:szCs w:val="32"/>
          <w:highlight w:val="none"/>
          <w:u w:val="none"/>
          <w:vertAlign w:val="subscript"/>
        </w:rPr>
        <w:t>c</w:t>
      </w:r>
    </w:p>
    <w:p w14:paraId="4A7AFA2A">
      <w:pPr>
        <w:pageBreakBefore w:val="0"/>
        <w:kinsoku/>
        <w:wordWrap/>
        <w:topLinePunct w:val="0"/>
        <w:bidi w:val="0"/>
        <w:spacing w:beforeAutospacing="0" w:afterAutospacing="0" w:line="560" w:lineRule="exact"/>
        <w:ind w:left="0" w:leftChars="0" w:firstLine="640" w:firstLineChars="200"/>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式中：M</w:t>
      </w:r>
      <w:r>
        <w:rPr>
          <w:rFonts w:hint="default" w:ascii="Times New Roman" w:hAnsi="Times New Roman" w:eastAsia="仿宋_GB2312" w:cs="Times New Roman"/>
          <w:color w:val="auto"/>
          <w:sz w:val="32"/>
          <w:szCs w:val="32"/>
          <w:highlight w:val="none"/>
          <w:u w:val="none"/>
          <w:vertAlign w:val="subscript"/>
        </w:rPr>
        <w:t>c</w:t>
      </w:r>
      <w:r>
        <w:rPr>
          <w:rFonts w:hint="eastAsia"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rPr>
        <w:t>某城市或区域拆除垃圾产生量，</w:t>
      </w:r>
      <w:r>
        <w:rPr>
          <w:rFonts w:hint="default" w:ascii="Times New Roman" w:hAnsi="Times New Roman" w:eastAsia="仿宋_GB2312" w:cs="Times New Roman"/>
          <w:color w:val="auto"/>
          <w:sz w:val="32"/>
          <w:szCs w:val="32"/>
          <w:highlight w:val="none"/>
          <w:u w:val="none"/>
          <w:lang w:eastAsia="zh-CN"/>
        </w:rPr>
        <w:t>万吨</w:t>
      </w:r>
      <w:r>
        <w:rPr>
          <w:rFonts w:hint="default" w:ascii="Times New Roman" w:hAnsi="Times New Roman" w:eastAsia="仿宋_GB2312" w:cs="Times New Roman"/>
          <w:color w:val="auto"/>
          <w:sz w:val="32"/>
          <w:szCs w:val="32"/>
          <w:highlight w:val="none"/>
          <w:u w:val="none"/>
          <w:lang w:val="en-US" w:eastAsia="zh-CN"/>
        </w:rPr>
        <w:t>/年</w:t>
      </w:r>
      <w:r>
        <w:rPr>
          <w:rFonts w:hint="default" w:ascii="Times New Roman" w:hAnsi="Times New Roman" w:eastAsia="仿宋_GB2312" w:cs="Times New Roman"/>
          <w:color w:val="auto"/>
          <w:sz w:val="32"/>
          <w:szCs w:val="32"/>
          <w:highlight w:val="none"/>
          <w:u w:val="none"/>
        </w:rPr>
        <w:t>；</w:t>
      </w:r>
    </w:p>
    <w:p w14:paraId="09CB9CBB">
      <w:pPr>
        <w:pageBreakBefore w:val="0"/>
        <w:kinsoku/>
        <w:wordWrap/>
        <w:topLinePunct w:val="0"/>
        <w:bidi w:val="0"/>
        <w:spacing w:beforeAutospacing="0" w:afterAutospacing="0" w:line="560" w:lineRule="exact"/>
        <w:ind w:left="0" w:leftChars="0" w:firstLine="1600" w:firstLineChars="500"/>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R</w:t>
      </w:r>
      <w:r>
        <w:rPr>
          <w:rFonts w:hint="default" w:ascii="Times New Roman" w:hAnsi="Times New Roman" w:eastAsia="仿宋_GB2312" w:cs="Times New Roman"/>
          <w:color w:val="auto"/>
          <w:sz w:val="32"/>
          <w:szCs w:val="32"/>
          <w:highlight w:val="none"/>
          <w:u w:val="none"/>
          <w:vertAlign w:val="subscript"/>
        </w:rPr>
        <w:t>c</w:t>
      </w:r>
      <w:r>
        <w:rPr>
          <w:rFonts w:hint="eastAsia"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rPr>
        <w:t>城市或区域拆除面积，</w:t>
      </w:r>
      <w:r>
        <w:rPr>
          <w:rFonts w:hint="default" w:ascii="Times New Roman" w:hAnsi="Times New Roman" w:eastAsia="仿宋_GB2312" w:cs="Times New Roman"/>
          <w:color w:val="auto"/>
          <w:sz w:val="32"/>
          <w:szCs w:val="32"/>
          <w:highlight w:val="none"/>
          <w:u w:val="none"/>
          <w:lang w:eastAsia="zh-CN"/>
        </w:rPr>
        <w:t>万平方米</w:t>
      </w:r>
      <w:r>
        <w:rPr>
          <w:rFonts w:hint="default" w:ascii="Times New Roman" w:hAnsi="Times New Roman" w:eastAsia="仿宋_GB2312" w:cs="Times New Roman"/>
          <w:color w:val="auto"/>
          <w:sz w:val="32"/>
          <w:szCs w:val="32"/>
          <w:highlight w:val="none"/>
          <w:u w:val="none"/>
          <w:lang w:val="en-US" w:eastAsia="zh-CN"/>
        </w:rPr>
        <w:t>/年</w:t>
      </w:r>
      <w:r>
        <w:rPr>
          <w:rFonts w:hint="default" w:ascii="Times New Roman" w:hAnsi="Times New Roman" w:eastAsia="仿宋_GB2312" w:cs="Times New Roman"/>
          <w:color w:val="auto"/>
          <w:sz w:val="32"/>
          <w:szCs w:val="32"/>
          <w:highlight w:val="none"/>
          <w:u w:val="none"/>
        </w:rPr>
        <w:t>；</w:t>
      </w:r>
    </w:p>
    <w:p w14:paraId="4A5B16EE">
      <w:pPr>
        <w:pageBreakBefore w:val="0"/>
        <w:kinsoku/>
        <w:wordWrap/>
        <w:topLinePunct w:val="0"/>
        <w:bidi w:val="0"/>
        <w:spacing w:beforeAutospacing="0" w:afterAutospacing="0" w:line="560" w:lineRule="exact"/>
        <w:ind w:left="0" w:leftChars="0" w:firstLine="1600" w:firstLineChars="500"/>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m</w:t>
      </w:r>
      <w:r>
        <w:rPr>
          <w:rFonts w:hint="default" w:ascii="Times New Roman" w:hAnsi="Times New Roman" w:eastAsia="仿宋_GB2312" w:cs="Times New Roman"/>
          <w:color w:val="auto"/>
          <w:sz w:val="32"/>
          <w:szCs w:val="32"/>
          <w:highlight w:val="none"/>
          <w:u w:val="none"/>
          <w:vertAlign w:val="subscript"/>
        </w:rPr>
        <w:t>c</w:t>
      </w:r>
      <w:r>
        <w:rPr>
          <w:rFonts w:hint="eastAsia"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rPr>
        <w:t>单位面积拆除垃圾产生量基数，</w:t>
      </w:r>
      <w:r>
        <w:rPr>
          <w:rFonts w:hint="default" w:ascii="Times New Roman" w:hAnsi="Times New Roman" w:eastAsia="仿宋_GB2312" w:cs="Times New Roman"/>
          <w:color w:val="auto"/>
          <w:sz w:val="32"/>
          <w:szCs w:val="32"/>
          <w:highlight w:val="none"/>
          <w:u w:val="none"/>
          <w:lang w:eastAsia="zh-CN"/>
        </w:rPr>
        <w:t>万吨</w:t>
      </w:r>
      <w:r>
        <w:rPr>
          <w:rFonts w:hint="default" w:ascii="Times New Roman" w:hAnsi="Times New Roman" w:eastAsia="仿宋_GB2312" w:cs="Times New Roman"/>
          <w:color w:val="auto"/>
          <w:sz w:val="32"/>
          <w:szCs w:val="32"/>
          <w:highlight w:val="none"/>
          <w:u w:val="none"/>
          <w:lang w:val="en-US" w:eastAsia="zh-CN"/>
        </w:rPr>
        <w:t>/万平方米</w:t>
      </w:r>
      <w:r>
        <w:rPr>
          <w:rFonts w:hint="default" w:ascii="Times New Roman" w:hAnsi="Times New Roman" w:eastAsia="仿宋_GB2312" w:cs="Times New Roman"/>
          <w:color w:val="auto"/>
          <w:sz w:val="32"/>
          <w:szCs w:val="32"/>
          <w:highlight w:val="none"/>
          <w:u w:val="none"/>
        </w:rPr>
        <w:t>，可取</w:t>
      </w:r>
      <w:r>
        <w:rPr>
          <w:rFonts w:hint="default" w:ascii="Times New Roman" w:hAnsi="Times New Roman" w:eastAsia="仿宋_GB2312" w:cs="Times New Roman"/>
          <w:color w:val="auto"/>
          <w:sz w:val="32"/>
          <w:szCs w:val="32"/>
          <w:highlight w:val="none"/>
          <w:u w:val="none"/>
          <w:lang w:val="en-US" w:eastAsia="zh-CN"/>
        </w:rPr>
        <w:t>0.8</w:t>
      </w:r>
      <w:r>
        <w:rPr>
          <w:rFonts w:hint="eastAsia"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lang w:val="en-US" w:eastAsia="zh-CN"/>
        </w:rPr>
        <w:t>1.3</w:t>
      </w:r>
      <w:r>
        <w:rPr>
          <w:rFonts w:hint="default" w:ascii="Times New Roman" w:hAnsi="Times New Roman" w:eastAsia="仿宋_GB2312" w:cs="Times New Roman"/>
          <w:color w:val="auto"/>
          <w:sz w:val="32"/>
          <w:szCs w:val="32"/>
          <w:highlight w:val="none"/>
          <w:u w:val="none"/>
        </w:rPr>
        <w:t>。</w:t>
      </w:r>
    </w:p>
    <w:p w14:paraId="2C6EB1DA">
      <w:pPr>
        <w:pageBreakBefore w:val="0"/>
        <w:numPr>
          <w:ilvl w:val="0"/>
          <w:numId w:val="5"/>
        </w:numPr>
        <w:kinsoku/>
        <w:wordWrap/>
        <w:topLinePunct w:val="0"/>
        <w:bidi w:val="0"/>
        <w:spacing w:beforeAutospacing="0" w:afterAutospacing="0" w:line="560" w:lineRule="exact"/>
        <w:ind w:left="0" w:leftChars="0" w:firstLine="640" w:firstLineChars="200"/>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bCs/>
          <w:color w:val="auto"/>
          <w:sz w:val="32"/>
          <w:szCs w:val="32"/>
          <w:highlight w:val="none"/>
          <w:u w:val="none"/>
          <w:lang w:val="en-US" w:eastAsia="zh-CN"/>
        </w:rPr>
        <w:t>融安县</w:t>
      </w:r>
      <w:r>
        <w:rPr>
          <w:rFonts w:hint="default" w:ascii="Times New Roman" w:hAnsi="Times New Roman" w:eastAsia="仿宋_GB2312" w:cs="Times New Roman"/>
          <w:sz w:val="32"/>
          <w:szCs w:val="32"/>
          <w:highlight w:val="none"/>
          <w:lang w:val="en-US" w:eastAsia="zh-CN"/>
        </w:rPr>
        <w:t>城区</w:t>
      </w:r>
      <w:r>
        <w:rPr>
          <w:rFonts w:hint="default" w:ascii="Times New Roman" w:hAnsi="Times New Roman" w:eastAsia="仿宋_GB2312" w:cs="Times New Roman"/>
          <w:sz w:val="32"/>
          <w:szCs w:val="32"/>
          <w:highlight w:val="none"/>
        </w:rPr>
        <w:t>拆除面积根据参考资料</w:t>
      </w:r>
      <w:r>
        <w:rPr>
          <w:rFonts w:hint="eastAsia"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建筑拆除面积可按年施工建筑面积的1</w:t>
      </w:r>
      <w:r>
        <w:rPr>
          <w:rFonts w:hint="default" w:ascii="Times New Roman" w:hAnsi="Times New Roman" w:eastAsia="仿宋_GB2312" w:cs="Times New Roman"/>
          <w:sz w:val="32"/>
          <w:szCs w:val="32"/>
          <w:highlight w:val="none"/>
          <w:lang w:val="en-US" w:eastAsia="zh-CN"/>
        </w:rPr>
        <w:t>0</w:t>
      </w:r>
      <w:r>
        <w:rPr>
          <w:rFonts w:hint="default" w:ascii="Times New Roman" w:hAnsi="Times New Roman" w:eastAsia="仿宋_GB2312" w:cs="Times New Roman"/>
          <w:sz w:val="32"/>
          <w:szCs w:val="32"/>
          <w:highlight w:val="none"/>
        </w:rPr>
        <w:t>%计算，单位面积拆除垃圾产生量基数取</w:t>
      </w:r>
      <w:r>
        <w:rPr>
          <w:rFonts w:hint="default" w:ascii="Times New Roman" w:hAnsi="Times New Roman" w:eastAsia="仿宋_GB2312" w:cs="Times New Roman"/>
          <w:sz w:val="32"/>
          <w:szCs w:val="32"/>
          <w:highlight w:val="none"/>
          <w:lang w:val="en-US" w:eastAsia="zh-CN"/>
        </w:rPr>
        <w:t>12</w:t>
      </w:r>
      <w:r>
        <w:rPr>
          <w:rFonts w:hint="default" w:ascii="Times New Roman" w:hAnsi="Times New Roman" w:eastAsia="仿宋_GB2312" w:cs="Times New Roman"/>
          <w:sz w:val="32"/>
          <w:szCs w:val="32"/>
          <w:highlight w:val="none"/>
        </w:rPr>
        <w:t>000t/10</w:t>
      </w:r>
      <w:r>
        <w:rPr>
          <w:rFonts w:hint="default" w:ascii="Times New Roman" w:hAnsi="Times New Roman" w:eastAsia="仿宋_GB2312" w:cs="Times New Roman"/>
          <w:sz w:val="32"/>
          <w:szCs w:val="32"/>
          <w:highlight w:val="none"/>
          <w:vertAlign w:val="superscript"/>
        </w:rPr>
        <w:t>4</w:t>
      </w:r>
      <w:r>
        <w:rPr>
          <w:rFonts w:hint="default" w:ascii="Times New Roman" w:hAnsi="Times New Roman" w:eastAsia="仿宋_GB2312" w:cs="Times New Roman"/>
          <w:sz w:val="32"/>
          <w:szCs w:val="32"/>
          <w:highlight w:val="none"/>
        </w:rPr>
        <w:t>m</w:t>
      </w:r>
      <w:r>
        <w:rPr>
          <w:rFonts w:hint="default" w:ascii="Times New Roman" w:hAnsi="Times New Roman" w:eastAsia="仿宋_GB2312" w:cs="Times New Roman"/>
          <w:sz w:val="32"/>
          <w:szCs w:val="32"/>
          <w:highlight w:val="none"/>
          <w:vertAlign w:val="superscript"/>
        </w:rPr>
        <w:t>2</w:t>
      </w:r>
      <w:r>
        <w:rPr>
          <w:rFonts w:hint="default" w:ascii="Times New Roman" w:hAnsi="Times New Roman" w:eastAsia="仿宋_GB2312" w:cs="Times New Roman"/>
          <w:sz w:val="32"/>
          <w:szCs w:val="32"/>
          <w:highlight w:val="none"/>
        </w:rPr>
        <w:t>。近年来</w:t>
      </w:r>
      <w:r>
        <w:rPr>
          <w:rFonts w:hint="eastAsia" w:eastAsia="仿宋_GB2312" w:cs="Times New Roman"/>
          <w:sz w:val="32"/>
          <w:szCs w:val="32"/>
          <w:highlight w:val="none"/>
          <w:lang w:eastAsia="zh-CN"/>
        </w:rPr>
        <w:t>，</w:t>
      </w:r>
      <w:r>
        <w:rPr>
          <w:rFonts w:hint="default" w:ascii="Times New Roman" w:hAnsi="Times New Roman" w:eastAsia="仿宋_GB2312" w:cs="Times New Roman"/>
          <w:bCs/>
          <w:color w:val="auto"/>
          <w:sz w:val="32"/>
          <w:szCs w:val="32"/>
          <w:highlight w:val="none"/>
          <w:u w:val="none"/>
          <w:lang w:val="en-US" w:eastAsia="zh-CN"/>
        </w:rPr>
        <w:t>融安县</w:t>
      </w:r>
      <w:r>
        <w:rPr>
          <w:rFonts w:hint="default" w:ascii="Times New Roman" w:hAnsi="Times New Roman" w:eastAsia="仿宋_GB2312" w:cs="Times New Roman"/>
          <w:sz w:val="32"/>
          <w:szCs w:val="32"/>
          <w:highlight w:val="none"/>
        </w:rPr>
        <w:t>每年房屋施工面积呈现波动发展的趋势，但总体将呈现下降趋势。</w:t>
      </w:r>
      <w:r>
        <w:rPr>
          <w:rFonts w:hint="default" w:ascii="Times New Roman" w:hAnsi="Times New Roman" w:eastAsia="仿宋_GB2312" w:cs="Times New Roman"/>
          <w:sz w:val="32"/>
          <w:szCs w:val="32"/>
          <w:highlight w:val="none"/>
          <w:lang w:val="en-US" w:eastAsia="zh-CN"/>
        </w:rPr>
        <w:t>预测近期2024—2030年拆除</w:t>
      </w:r>
      <w:r>
        <w:rPr>
          <w:rFonts w:hint="default" w:ascii="Times New Roman" w:hAnsi="Times New Roman" w:eastAsia="仿宋_GB2312" w:cs="Times New Roman"/>
          <w:sz w:val="32"/>
          <w:szCs w:val="32"/>
          <w:highlight w:val="none"/>
        </w:rPr>
        <w:t>垃圾</w:t>
      </w:r>
      <w:r>
        <w:rPr>
          <w:rFonts w:hint="default" w:ascii="Times New Roman" w:hAnsi="Times New Roman" w:eastAsia="仿宋_GB2312" w:cs="Times New Roman"/>
          <w:sz w:val="32"/>
          <w:szCs w:val="32"/>
          <w:highlight w:val="none"/>
          <w:lang w:val="en-US" w:eastAsia="zh-CN"/>
        </w:rPr>
        <w:t>产生量约为26.8万吨，预测远期2031—2035年拆除</w:t>
      </w:r>
      <w:r>
        <w:rPr>
          <w:rFonts w:hint="default" w:ascii="Times New Roman" w:hAnsi="Times New Roman" w:eastAsia="仿宋_GB2312" w:cs="Times New Roman"/>
          <w:sz w:val="32"/>
          <w:szCs w:val="32"/>
          <w:highlight w:val="none"/>
        </w:rPr>
        <w:t>垃圾</w:t>
      </w:r>
      <w:r>
        <w:rPr>
          <w:rFonts w:hint="default" w:ascii="Times New Roman" w:hAnsi="Times New Roman" w:eastAsia="仿宋_GB2312" w:cs="Times New Roman"/>
          <w:sz w:val="32"/>
          <w:szCs w:val="32"/>
          <w:highlight w:val="none"/>
          <w:lang w:val="en-US" w:eastAsia="zh-CN"/>
        </w:rPr>
        <w:t>产生量约14.0万吨。</w:t>
      </w:r>
    </w:p>
    <w:p w14:paraId="62898343">
      <w:pPr>
        <w:pageBreakBefore w:val="0"/>
        <w:widowControl w:val="0"/>
        <w:numPr>
          <w:ilvl w:val="0"/>
          <w:numId w:val="0"/>
        </w:numPr>
        <w:kinsoku/>
        <w:wordWrap/>
        <w:topLinePunct w:val="0"/>
        <w:bidi w:val="0"/>
        <w:spacing w:beforeAutospacing="0" w:afterAutospacing="0" w:line="560" w:lineRule="exact"/>
        <w:jc w:val="both"/>
        <w:rPr>
          <w:rFonts w:hint="default" w:ascii="Times New Roman" w:hAnsi="Times New Roman" w:eastAsia="仿宋_GB2312" w:cs="Times New Roman"/>
          <w:sz w:val="32"/>
          <w:szCs w:val="32"/>
          <w:highlight w:val="none"/>
          <w:lang w:val="en-US" w:eastAsia="zh-CN"/>
        </w:rPr>
      </w:pPr>
    </w:p>
    <w:p w14:paraId="5AE49A2A">
      <w:pPr>
        <w:pageBreakBefore w:val="0"/>
        <w:widowControl w:val="0"/>
        <w:numPr>
          <w:ilvl w:val="0"/>
          <w:numId w:val="0"/>
        </w:numPr>
        <w:kinsoku/>
        <w:wordWrap/>
        <w:topLinePunct w:val="0"/>
        <w:bidi w:val="0"/>
        <w:spacing w:beforeAutospacing="0" w:afterAutospacing="0" w:line="560" w:lineRule="exact"/>
        <w:jc w:val="both"/>
        <w:rPr>
          <w:rFonts w:hint="default" w:ascii="Times New Roman" w:hAnsi="Times New Roman" w:eastAsia="仿宋_GB2312" w:cs="Times New Roman"/>
          <w:sz w:val="32"/>
          <w:szCs w:val="32"/>
          <w:highlight w:val="none"/>
          <w:lang w:val="en-US" w:eastAsia="zh-CN"/>
        </w:rPr>
      </w:pPr>
    </w:p>
    <w:p w14:paraId="23F2ECE5">
      <w:pPr>
        <w:pageBreakBefore w:val="0"/>
        <w:kinsoku/>
        <w:wordWrap/>
        <w:topLinePunct w:val="0"/>
        <w:bidi w:val="0"/>
        <w:spacing w:beforeAutospacing="0" w:afterAutospacing="0" w:line="560" w:lineRule="exact"/>
        <w:ind w:left="0" w:leftChars="0" w:firstLine="482"/>
        <w:jc w:val="center"/>
        <w:rPr>
          <w:rFonts w:hint="default" w:ascii="Times New Roman" w:hAnsi="Times New Roman" w:eastAsia="仿宋_GB2312" w:cs="Times New Roman"/>
          <w:bCs/>
          <w:sz w:val="32"/>
          <w:szCs w:val="32"/>
          <w:highlight w:val="none"/>
          <w:lang w:eastAsia="zh-CN"/>
        </w:rPr>
      </w:pPr>
      <w:r>
        <w:rPr>
          <w:rFonts w:hint="default" w:ascii="Times New Roman" w:hAnsi="Times New Roman" w:eastAsia="仿宋_GB2312" w:cs="Times New Roman"/>
          <w:bCs/>
          <w:sz w:val="32"/>
          <w:szCs w:val="32"/>
          <w:highlight w:val="none"/>
          <w:lang w:eastAsia="zh-CN"/>
        </w:rPr>
        <w:t>表：</w:t>
      </w:r>
      <w:r>
        <w:rPr>
          <w:rFonts w:hint="default" w:ascii="Times New Roman" w:hAnsi="Times New Roman" w:eastAsia="仿宋_GB2312" w:cs="Times New Roman"/>
          <w:bCs/>
          <w:color w:val="auto"/>
          <w:sz w:val="32"/>
          <w:szCs w:val="32"/>
          <w:highlight w:val="none"/>
          <w:u w:val="none"/>
          <w:lang w:val="en-US" w:eastAsia="zh-CN"/>
        </w:rPr>
        <w:t>融安县</w:t>
      </w:r>
      <w:r>
        <w:rPr>
          <w:rFonts w:hint="default" w:ascii="Times New Roman" w:hAnsi="Times New Roman" w:eastAsia="仿宋_GB2312" w:cs="Times New Roman"/>
          <w:sz w:val="32"/>
          <w:szCs w:val="32"/>
          <w:highlight w:val="none"/>
          <w:lang w:val="en-US" w:eastAsia="zh-CN"/>
        </w:rPr>
        <w:t>城区</w:t>
      </w:r>
      <w:r>
        <w:rPr>
          <w:rFonts w:hint="default" w:ascii="Times New Roman" w:hAnsi="Times New Roman" w:eastAsia="仿宋_GB2312" w:cs="Times New Roman"/>
          <w:bCs/>
          <w:sz w:val="32"/>
          <w:szCs w:val="32"/>
          <w:highlight w:val="none"/>
          <w:lang w:eastAsia="zh-CN"/>
        </w:rPr>
        <w:t>拆除垃圾预测量</w:t>
      </w:r>
    </w:p>
    <w:tbl>
      <w:tblPr>
        <w:tblStyle w:val="16"/>
        <w:tblW w:w="916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2510"/>
        <w:gridCol w:w="2153"/>
        <w:gridCol w:w="3210"/>
        <w:gridCol w:w="1287"/>
      </w:tblGrid>
      <w:tr w14:paraId="0A5B9E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 w:hRule="atLeast"/>
        </w:trPr>
        <w:tc>
          <w:tcPr>
            <w:tcW w:w="2510" w:type="dxa"/>
            <w:tcBorders>
              <w:top w:val="single" w:color="000000" w:sz="8" w:space="0"/>
              <w:left w:val="single" w:color="000000" w:sz="8" w:space="0"/>
              <w:bottom w:val="single" w:color="000000" w:sz="8" w:space="0"/>
              <w:right w:val="single" w:color="auto" w:sz="4" w:space="0"/>
            </w:tcBorders>
            <w:shd w:val="clear" w:color="auto" w:fill="auto"/>
            <w:tcMar>
              <w:top w:w="15" w:type="dxa"/>
              <w:left w:w="15" w:type="dxa"/>
              <w:right w:w="15" w:type="dxa"/>
            </w:tcMar>
            <w:vAlign w:val="center"/>
          </w:tcPr>
          <w:p w14:paraId="155BFCEC">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黑体" w:hAnsi="黑体" w:eastAsia="黑体" w:cs="黑体"/>
                <w:sz w:val="24"/>
                <w:szCs w:val="24"/>
                <w:highlight w:val="none"/>
                <w:vertAlign w:val="baseline"/>
                <w:lang w:val="en-US" w:eastAsia="zh-CN"/>
              </w:rPr>
            </w:pPr>
            <w:r>
              <w:rPr>
                <w:rFonts w:hint="eastAsia" w:ascii="黑体" w:hAnsi="黑体" w:eastAsia="黑体" w:cs="黑体"/>
                <w:sz w:val="24"/>
                <w:szCs w:val="24"/>
                <w:highlight w:val="none"/>
                <w:vertAlign w:val="baseline"/>
                <w:lang w:val="en-US" w:eastAsia="zh-CN"/>
              </w:rPr>
              <w:t>年份</w:t>
            </w:r>
          </w:p>
        </w:tc>
        <w:tc>
          <w:tcPr>
            <w:tcW w:w="2153" w:type="dxa"/>
            <w:tcBorders>
              <w:top w:val="single" w:color="auto" w:sz="4" w:space="0"/>
              <w:left w:val="single" w:color="auto" w:sz="4" w:space="0"/>
              <w:bottom w:val="single" w:color="auto" w:sz="4" w:space="0"/>
              <w:right w:val="single" w:color="000000" w:sz="8" w:space="0"/>
            </w:tcBorders>
            <w:shd w:val="clear" w:color="auto" w:fill="auto"/>
            <w:tcMar>
              <w:top w:w="15" w:type="dxa"/>
              <w:left w:w="15" w:type="dxa"/>
              <w:right w:w="15" w:type="dxa"/>
            </w:tcMar>
            <w:vAlign w:val="top"/>
          </w:tcPr>
          <w:p w14:paraId="3E96605D">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黑体" w:hAnsi="黑体" w:eastAsia="黑体" w:cs="黑体"/>
                <w:sz w:val="24"/>
                <w:szCs w:val="24"/>
                <w:highlight w:val="none"/>
                <w:vertAlign w:val="baseline"/>
                <w:lang w:val="en-US" w:eastAsia="zh-CN"/>
              </w:rPr>
            </w:pPr>
            <w:r>
              <w:rPr>
                <w:rFonts w:hint="eastAsia" w:ascii="黑体" w:hAnsi="黑体" w:eastAsia="黑体" w:cs="黑体"/>
                <w:sz w:val="24"/>
                <w:szCs w:val="24"/>
                <w:highlight w:val="none"/>
                <w:vertAlign w:val="baseline"/>
                <w:lang w:val="en-US" w:eastAsia="zh-CN"/>
              </w:rPr>
              <w:t>房屋施工面积</w:t>
            </w:r>
          </w:p>
          <w:p w14:paraId="71A82640">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黑体" w:hAnsi="黑体" w:eastAsia="黑体" w:cs="黑体"/>
                <w:sz w:val="24"/>
                <w:szCs w:val="24"/>
                <w:highlight w:val="none"/>
                <w:vertAlign w:val="baseline"/>
                <w:lang w:val="en-US" w:eastAsia="zh-CN"/>
              </w:rPr>
            </w:pPr>
            <w:r>
              <w:rPr>
                <w:rFonts w:hint="eastAsia" w:ascii="黑体" w:hAnsi="黑体" w:eastAsia="黑体" w:cs="黑体"/>
                <w:sz w:val="24"/>
                <w:szCs w:val="24"/>
                <w:highlight w:val="none"/>
                <w:vertAlign w:val="baseline"/>
                <w:lang w:val="en-US" w:eastAsia="zh-CN"/>
              </w:rPr>
              <w:t>（万平米/年）</w:t>
            </w:r>
          </w:p>
        </w:tc>
        <w:tc>
          <w:tcPr>
            <w:tcW w:w="3210" w:type="dxa"/>
            <w:tcBorders>
              <w:top w:val="single" w:color="auto" w:sz="4" w:space="0"/>
              <w:left w:val="single" w:color="000000" w:sz="8" w:space="0"/>
              <w:bottom w:val="single" w:color="auto" w:sz="4" w:space="0"/>
              <w:right w:val="single" w:color="auto" w:sz="4" w:space="0"/>
            </w:tcBorders>
            <w:shd w:val="clear" w:color="auto" w:fill="auto"/>
            <w:tcMar>
              <w:top w:w="15" w:type="dxa"/>
              <w:left w:w="15" w:type="dxa"/>
              <w:right w:w="15" w:type="dxa"/>
            </w:tcMar>
            <w:vAlign w:val="top"/>
          </w:tcPr>
          <w:p w14:paraId="2EA65438">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黑体" w:hAnsi="黑体" w:eastAsia="黑体" w:cs="黑体"/>
                <w:sz w:val="24"/>
                <w:szCs w:val="24"/>
                <w:highlight w:val="none"/>
                <w:vertAlign w:val="baseline"/>
                <w:lang w:val="en-US" w:eastAsia="zh-CN"/>
              </w:rPr>
            </w:pPr>
            <w:r>
              <w:rPr>
                <w:rFonts w:hint="eastAsia" w:ascii="黑体" w:hAnsi="黑体" w:eastAsia="黑体" w:cs="黑体"/>
                <w:sz w:val="24"/>
                <w:szCs w:val="24"/>
                <w:highlight w:val="none"/>
                <w:vertAlign w:val="baseline"/>
                <w:lang w:val="en-US" w:eastAsia="zh-CN"/>
              </w:rPr>
              <w:t>拆除面积</w:t>
            </w:r>
          </w:p>
          <w:p w14:paraId="56547025">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黑体" w:hAnsi="黑体" w:eastAsia="黑体" w:cs="黑体"/>
                <w:sz w:val="24"/>
                <w:szCs w:val="24"/>
                <w:highlight w:val="none"/>
                <w:vertAlign w:val="baseline"/>
                <w:lang w:val="en-US" w:eastAsia="zh-CN"/>
              </w:rPr>
            </w:pPr>
            <w:r>
              <w:rPr>
                <w:rFonts w:hint="eastAsia" w:ascii="黑体" w:hAnsi="黑体" w:eastAsia="黑体" w:cs="黑体"/>
                <w:sz w:val="24"/>
                <w:szCs w:val="24"/>
                <w:highlight w:val="none"/>
                <w:vertAlign w:val="baseline"/>
                <w:lang w:val="en-US" w:eastAsia="zh-CN"/>
              </w:rPr>
              <w:t>（万平方米/年）</w:t>
            </w:r>
          </w:p>
        </w:tc>
        <w:tc>
          <w:tcPr>
            <w:tcW w:w="1287" w:type="dxa"/>
            <w:tcBorders>
              <w:top w:val="single" w:color="000000" w:sz="8" w:space="0"/>
              <w:left w:val="single" w:color="auto" w:sz="4" w:space="0"/>
              <w:bottom w:val="single" w:color="000000" w:sz="8" w:space="0"/>
              <w:right w:val="single" w:color="000000" w:sz="8" w:space="0"/>
            </w:tcBorders>
            <w:shd w:val="clear" w:color="auto" w:fill="auto"/>
            <w:tcMar>
              <w:top w:w="15" w:type="dxa"/>
              <w:left w:w="15" w:type="dxa"/>
              <w:right w:w="15" w:type="dxa"/>
            </w:tcMar>
            <w:vAlign w:val="top"/>
          </w:tcPr>
          <w:p w14:paraId="344ED27A">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黑体" w:hAnsi="黑体" w:eastAsia="黑体" w:cs="黑体"/>
                <w:sz w:val="24"/>
                <w:szCs w:val="24"/>
                <w:highlight w:val="none"/>
                <w:vertAlign w:val="baseline"/>
                <w:lang w:val="en-US" w:eastAsia="zh-CN"/>
              </w:rPr>
            </w:pPr>
            <w:r>
              <w:rPr>
                <w:rFonts w:hint="eastAsia" w:ascii="黑体" w:hAnsi="黑体" w:eastAsia="黑体" w:cs="黑体"/>
                <w:sz w:val="24"/>
                <w:szCs w:val="24"/>
                <w:highlight w:val="none"/>
                <w:vertAlign w:val="baseline"/>
                <w:lang w:val="en-US" w:eastAsia="zh-CN"/>
              </w:rPr>
              <w:t>拆除垃圾</w:t>
            </w:r>
          </w:p>
          <w:p w14:paraId="22653543">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黑体" w:hAnsi="黑体" w:eastAsia="黑体" w:cs="黑体"/>
                <w:sz w:val="24"/>
                <w:szCs w:val="24"/>
                <w:highlight w:val="none"/>
                <w:vertAlign w:val="baseline"/>
                <w:lang w:val="en-US" w:eastAsia="zh-CN"/>
              </w:rPr>
            </w:pPr>
            <w:r>
              <w:rPr>
                <w:rFonts w:hint="eastAsia" w:ascii="黑体" w:hAnsi="黑体" w:eastAsia="黑体" w:cs="黑体"/>
                <w:sz w:val="24"/>
                <w:szCs w:val="24"/>
                <w:highlight w:val="none"/>
                <w:vertAlign w:val="baseline"/>
                <w:lang w:val="en-US" w:eastAsia="zh-CN"/>
              </w:rPr>
              <w:t>（万吨/年）</w:t>
            </w:r>
          </w:p>
        </w:tc>
      </w:tr>
      <w:tr w14:paraId="4F7A4A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33" w:hRule="atLeast"/>
        </w:trPr>
        <w:tc>
          <w:tcPr>
            <w:tcW w:w="2510"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5B499C65">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sz w:val="24"/>
                <w:szCs w:val="24"/>
                <w:highlight w:val="none"/>
                <w:vertAlign w:val="baseline"/>
                <w:lang w:val="en-US" w:eastAsia="zh-CN"/>
              </w:rPr>
            </w:pPr>
            <w:r>
              <w:rPr>
                <w:rFonts w:hint="default" w:ascii="Times New Roman" w:hAnsi="Times New Roman" w:eastAsia="华文仿宋" w:cs="Times New Roman"/>
                <w:sz w:val="24"/>
                <w:szCs w:val="24"/>
                <w:highlight w:val="none"/>
                <w:vertAlign w:val="baseline"/>
                <w:lang w:val="en-US" w:eastAsia="zh-CN"/>
              </w:rPr>
              <w:t>2024</w:t>
            </w:r>
          </w:p>
        </w:tc>
        <w:tc>
          <w:tcPr>
            <w:tcW w:w="2153" w:type="dxa"/>
            <w:tcBorders>
              <w:top w:val="single" w:color="auto" w:sz="4" w:space="0"/>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43608F5A">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sz w:val="24"/>
                <w:szCs w:val="24"/>
                <w:highlight w:val="none"/>
                <w:vertAlign w:val="baseline"/>
                <w:lang w:val="en-US" w:eastAsia="zh-CN"/>
              </w:rPr>
            </w:pPr>
            <w:r>
              <w:rPr>
                <w:rFonts w:hint="default" w:ascii="Times New Roman" w:hAnsi="Times New Roman" w:eastAsia="华文仿宋" w:cs="Times New Roman"/>
                <w:sz w:val="24"/>
                <w:szCs w:val="24"/>
                <w:highlight w:val="none"/>
                <w:vertAlign w:val="baseline"/>
                <w:lang w:val="en-US" w:eastAsia="zh-CN"/>
              </w:rPr>
              <w:t xml:space="preserve">37 </w:t>
            </w:r>
          </w:p>
        </w:tc>
        <w:tc>
          <w:tcPr>
            <w:tcW w:w="3210" w:type="dxa"/>
            <w:tcBorders>
              <w:top w:val="single" w:color="auto" w:sz="4" w:space="0"/>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7C0B4202">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sz w:val="24"/>
                <w:szCs w:val="24"/>
                <w:highlight w:val="none"/>
                <w:vertAlign w:val="baseline"/>
                <w:lang w:val="en-US" w:eastAsia="zh-CN"/>
              </w:rPr>
            </w:pPr>
            <w:r>
              <w:rPr>
                <w:rFonts w:hint="default" w:ascii="Times New Roman" w:hAnsi="Times New Roman" w:eastAsia="华文仿宋" w:cs="Times New Roman"/>
                <w:sz w:val="24"/>
                <w:szCs w:val="24"/>
                <w:highlight w:val="none"/>
                <w:vertAlign w:val="baseline"/>
                <w:lang w:val="en-US" w:eastAsia="zh-CN"/>
              </w:rPr>
              <w:t xml:space="preserve">3.7 </w:t>
            </w:r>
          </w:p>
        </w:tc>
        <w:tc>
          <w:tcPr>
            <w:tcW w:w="1287"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6A73C63B">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sz w:val="24"/>
                <w:szCs w:val="24"/>
                <w:highlight w:val="none"/>
                <w:vertAlign w:val="baseline"/>
                <w:lang w:val="en-US" w:eastAsia="zh-CN"/>
              </w:rPr>
            </w:pPr>
            <w:r>
              <w:rPr>
                <w:rFonts w:hint="default" w:ascii="Times New Roman" w:hAnsi="Times New Roman" w:eastAsia="华文仿宋" w:cs="Times New Roman"/>
                <w:sz w:val="24"/>
                <w:szCs w:val="24"/>
                <w:highlight w:val="none"/>
                <w:vertAlign w:val="baseline"/>
                <w:lang w:val="en-US" w:eastAsia="zh-CN"/>
              </w:rPr>
              <w:t xml:space="preserve">4.4 </w:t>
            </w:r>
          </w:p>
        </w:tc>
      </w:tr>
      <w:tr w14:paraId="14FEFD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33" w:hRule="atLeast"/>
        </w:trPr>
        <w:tc>
          <w:tcPr>
            <w:tcW w:w="2510"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680C73E3">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sz w:val="24"/>
                <w:szCs w:val="24"/>
                <w:highlight w:val="none"/>
                <w:vertAlign w:val="baseline"/>
                <w:lang w:val="en-US" w:eastAsia="zh-CN"/>
              </w:rPr>
            </w:pPr>
            <w:r>
              <w:rPr>
                <w:rFonts w:hint="default" w:ascii="Times New Roman" w:hAnsi="Times New Roman" w:eastAsia="华文仿宋" w:cs="Times New Roman"/>
                <w:sz w:val="24"/>
                <w:szCs w:val="24"/>
                <w:highlight w:val="none"/>
                <w:vertAlign w:val="baseline"/>
                <w:lang w:val="en-US" w:eastAsia="zh-CN"/>
              </w:rPr>
              <w:t>2025</w:t>
            </w:r>
          </w:p>
        </w:tc>
        <w:tc>
          <w:tcPr>
            <w:tcW w:w="215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25CFEC3A">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sz w:val="24"/>
                <w:szCs w:val="24"/>
                <w:highlight w:val="none"/>
                <w:vertAlign w:val="baseline"/>
                <w:lang w:val="en-US" w:eastAsia="zh-CN"/>
              </w:rPr>
            </w:pPr>
            <w:r>
              <w:rPr>
                <w:rFonts w:hint="default" w:ascii="Times New Roman" w:hAnsi="Times New Roman" w:eastAsia="华文仿宋" w:cs="Times New Roman"/>
                <w:sz w:val="24"/>
                <w:szCs w:val="24"/>
                <w:highlight w:val="none"/>
                <w:vertAlign w:val="baseline"/>
                <w:lang w:val="en-US" w:eastAsia="zh-CN"/>
              </w:rPr>
              <w:t xml:space="preserve">35 </w:t>
            </w:r>
          </w:p>
        </w:tc>
        <w:tc>
          <w:tcPr>
            <w:tcW w:w="3210"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59998EB3">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sz w:val="24"/>
                <w:szCs w:val="24"/>
                <w:highlight w:val="none"/>
                <w:vertAlign w:val="baseline"/>
                <w:lang w:val="en-US" w:eastAsia="zh-CN"/>
              </w:rPr>
            </w:pPr>
            <w:r>
              <w:rPr>
                <w:rFonts w:hint="default" w:ascii="Times New Roman" w:hAnsi="Times New Roman" w:eastAsia="华文仿宋" w:cs="Times New Roman"/>
                <w:sz w:val="24"/>
                <w:szCs w:val="24"/>
                <w:highlight w:val="none"/>
                <w:vertAlign w:val="baseline"/>
                <w:lang w:val="en-US" w:eastAsia="zh-CN"/>
              </w:rPr>
              <w:t xml:space="preserve">3.5 </w:t>
            </w:r>
          </w:p>
        </w:tc>
        <w:tc>
          <w:tcPr>
            <w:tcW w:w="1287"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4CCBD8E6">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sz w:val="24"/>
                <w:szCs w:val="24"/>
                <w:highlight w:val="none"/>
                <w:vertAlign w:val="baseline"/>
                <w:lang w:val="en-US" w:eastAsia="zh-CN"/>
              </w:rPr>
            </w:pPr>
            <w:r>
              <w:rPr>
                <w:rFonts w:hint="default" w:ascii="Times New Roman" w:hAnsi="Times New Roman" w:eastAsia="华文仿宋" w:cs="Times New Roman"/>
                <w:sz w:val="24"/>
                <w:szCs w:val="24"/>
                <w:highlight w:val="none"/>
                <w:vertAlign w:val="baseline"/>
                <w:lang w:val="en-US" w:eastAsia="zh-CN"/>
              </w:rPr>
              <w:t xml:space="preserve">4.2 </w:t>
            </w:r>
          </w:p>
        </w:tc>
      </w:tr>
      <w:tr w14:paraId="111647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33" w:hRule="atLeast"/>
        </w:trPr>
        <w:tc>
          <w:tcPr>
            <w:tcW w:w="2510" w:type="dxa"/>
            <w:tcBorders>
              <w:top w:val="nil"/>
              <w:left w:val="single" w:color="000000" w:sz="8" w:space="0"/>
              <w:bottom w:val="single" w:color="auto" w:sz="4" w:space="0"/>
              <w:right w:val="single" w:color="000000" w:sz="8" w:space="0"/>
            </w:tcBorders>
            <w:shd w:val="clear" w:color="auto" w:fill="auto"/>
            <w:tcMar>
              <w:top w:w="15" w:type="dxa"/>
              <w:left w:w="15" w:type="dxa"/>
              <w:right w:w="15" w:type="dxa"/>
            </w:tcMar>
            <w:vAlign w:val="top"/>
          </w:tcPr>
          <w:p w14:paraId="39EDAC9F">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sz w:val="24"/>
                <w:szCs w:val="24"/>
                <w:highlight w:val="none"/>
                <w:vertAlign w:val="baseline"/>
                <w:lang w:val="en-US" w:eastAsia="zh-CN"/>
              </w:rPr>
            </w:pPr>
            <w:r>
              <w:rPr>
                <w:rFonts w:hint="default" w:ascii="Times New Roman" w:hAnsi="Times New Roman" w:eastAsia="华文仿宋" w:cs="Times New Roman"/>
                <w:sz w:val="24"/>
                <w:szCs w:val="24"/>
                <w:highlight w:val="none"/>
                <w:vertAlign w:val="baseline"/>
                <w:lang w:val="en-US" w:eastAsia="zh-CN"/>
              </w:rPr>
              <w:t>2026</w:t>
            </w:r>
          </w:p>
        </w:tc>
        <w:tc>
          <w:tcPr>
            <w:tcW w:w="2153" w:type="dxa"/>
            <w:tcBorders>
              <w:top w:val="nil"/>
              <w:left w:val="single" w:color="000000" w:sz="8" w:space="0"/>
              <w:bottom w:val="single" w:color="auto" w:sz="4" w:space="0"/>
              <w:right w:val="single" w:color="000000" w:sz="8" w:space="0"/>
            </w:tcBorders>
            <w:shd w:val="clear" w:color="auto" w:fill="auto"/>
            <w:tcMar>
              <w:top w:w="15" w:type="dxa"/>
              <w:left w:w="15" w:type="dxa"/>
              <w:right w:w="15" w:type="dxa"/>
            </w:tcMar>
            <w:vAlign w:val="top"/>
          </w:tcPr>
          <w:p w14:paraId="41CF6531">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sz w:val="24"/>
                <w:szCs w:val="24"/>
                <w:highlight w:val="none"/>
                <w:vertAlign w:val="baseline"/>
                <w:lang w:val="en-US" w:eastAsia="zh-CN"/>
              </w:rPr>
            </w:pPr>
            <w:r>
              <w:rPr>
                <w:rFonts w:hint="default" w:ascii="Times New Roman" w:hAnsi="Times New Roman" w:eastAsia="华文仿宋" w:cs="Times New Roman"/>
                <w:sz w:val="24"/>
                <w:szCs w:val="24"/>
                <w:highlight w:val="none"/>
                <w:vertAlign w:val="baseline"/>
                <w:lang w:val="en-US" w:eastAsia="zh-CN"/>
              </w:rPr>
              <w:t xml:space="preserve">33 </w:t>
            </w:r>
          </w:p>
        </w:tc>
        <w:tc>
          <w:tcPr>
            <w:tcW w:w="3210" w:type="dxa"/>
            <w:tcBorders>
              <w:top w:val="nil"/>
              <w:left w:val="single" w:color="000000" w:sz="8" w:space="0"/>
              <w:bottom w:val="single" w:color="auto" w:sz="4" w:space="0"/>
              <w:right w:val="single" w:color="000000" w:sz="8" w:space="0"/>
            </w:tcBorders>
            <w:shd w:val="clear" w:color="auto" w:fill="auto"/>
            <w:tcMar>
              <w:top w:w="15" w:type="dxa"/>
              <w:left w:w="15" w:type="dxa"/>
              <w:right w:w="15" w:type="dxa"/>
            </w:tcMar>
            <w:vAlign w:val="top"/>
          </w:tcPr>
          <w:p w14:paraId="0AD4E52C">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sz w:val="24"/>
                <w:szCs w:val="24"/>
                <w:highlight w:val="none"/>
                <w:vertAlign w:val="baseline"/>
                <w:lang w:val="en-US" w:eastAsia="zh-CN"/>
              </w:rPr>
            </w:pPr>
            <w:r>
              <w:rPr>
                <w:rFonts w:hint="default" w:ascii="Times New Roman" w:hAnsi="Times New Roman" w:eastAsia="华文仿宋" w:cs="Times New Roman"/>
                <w:sz w:val="24"/>
                <w:szCs w:val="24"/>
                <w:highlight w:val="none"/>
                <w:vertAlign w:val="baseline"/>
                <w:lang w:val="en-US" w:eastAsia="zh-CN"/>
              </w:rPr>
              <w:t xml:space="preserve">3.3 </w:t>
            </w:r>
          </w:p>
        </w:tc>
        <w:tc>
          <w:tcPr>
            <w:tcW w:w="1287" w:type="dxa"/>
            <w:tcBorders>
              <w:top w:val="nil"/>
              <w:left w:val="single" w:color="000000" w:sz="8" w:space="0"/>
              <w:bottom w:val="single" w:color="auto" w:sz="4" w:space="0"/>
              <w:right w:val="single" w:color="000000" w:sz="8" w:space="0"/>
            </w:tcBorders>
            <w:shd w:val="clear" w:color="auto" w:fill="auto"/>
            <w:tcMar>
              <w:top w:w="15" w:type="dxa"/>
              <w:left w:w="15" w:type="dxa"/>
              <w:right w:w="15" w:type="dxa"/>
            </w:tcMar>
            <w:vAlign w:val="top"/>
          </w:tcPr>
          <w:p w14:paraId="42A69EA6">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sz w:val="24"/>
                <w:szCs w:val="24"/>
                <w:highlight w:val="none"/>
                <w:vertAlign w:val="baseline"/>
                <w:lang w:val="en-US" w:eastAsia="zh-CN"/>
              </w:rPr>
            </w:pPr>
            <w:r>
              <w:rPr>
                <w:rFonts w:hint="default" w:ascii="Times New Roman" w:hAnsi="Times New Roman" w:eastAsia="华文仿宋" w:cs="Times New Roman"/>
                <w:sz w:val="24"/>
                <w:szCs w:val="24"/>
                <w:highlight w:val="none"/>
                <w:vertAlign w:val="baseline"/>
                <w:lang w:val="en-US" w:eastAsia="zh-CN"/>
              </w:rPr>
              <w:t xml:space="preserve">4.0 </w:t>
            </w:r>
          </w:p>
        </w:tc>
      </w:tr>
      <w:tr w14:paraId="6FBCB3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33" w:hRule="atLeast"/>
        </w:trPr>
        <w:tc>
          <w:tcPr>
            <w:tcW w:w="2510" w:type="dxa"/>
            <w:tcBorders>
              <w:top w:val="single" w:color="auto" w:sz="4" w:space="0"/>
              <w:left w:val="single" w:color="auto" w:sz="4" w:space="0"/>
              <w:bottom w:val="single" w:color="000000" w:sz="8" w:space="0"/>
              <w:right w:val="single" w:color="000000" w:sz="8" w:space="0"/>
            </w:tcBorders>
            <w:shd w:val="clear" w:color="auto" w:fill="auto"/>
            <w:tcMar>
              <w:top w:w="15" w:type="dxa"/>
              <w:left w:w="15" w:type="dxa"/>
              <w:right w:w="15" w:type="dxa"/>
            </w:tcMar>
            <w:vAlign w:val="top"/>
          </w:tcPr>
          <w:p w14:paraId="5D0E15B3">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sz w:val="24"/>
                <w:szCs w:val="24"/>
                <w:highlight w:val="none"/>
                <w:vertAlign w:val="baseline"/>
                <w:lang w:val="en-US" w:eastAsia="zh-CN"/>
              </w:rPr>
            </w:pPr>
            <w:r>
              <w:rPr>
                <w:rFonts w:hint="default" w:ascii="Times New Roman" w:hAnsi="Times New Roman" w:eastAsia="华文仿宋" w:cs="Times New Roman"/>
                <w:sz w:val="24"/>
                <w:szCs w:val="24"/>
                <w:highlight w:val="none"/>
                <w:vertAlign w:val="baseline"/>
                <w:lang w:val="en-US" w:eastAsia="zh-CN"/>
              </w:rPr>
              <w:t>2027</w:t>
            </w:r>
          </w:p>
        </w:tc>
        <w:tc>
          <w:tcPr>
            <w:tcW w:w="2153" w:type="dxa"/>
            <w:tcBorders>
              <w:top w:val="single" w:color="auto" w:sz="4" w:space="0"/>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38E5CB41">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sz w:val="24"/>
                <w:szCs w:val="24"/>
                <w:highlight w:val="none"/>
                <w:vertAlign w:val="baseline"/>
                <w:lang w:val="en-US" w:eastAsia="zh-CN"/>
              </w:rPr>
            </w:pPr>
            <w:r>
              <w:rPr>
                <w:rFonts w:hint="default" w:ascii="Times New Roman" w:hAnsi="Times New Roman" w:eastAsia="华文仿宋" w:cs="Times New Roman"/>
                <w:sz w:val="24"/>
                <w:szCs w:val="24"/>
                <w:highlight w:val="none"/>
                <w:vertAlign w:val="baseline"/>
                <w:lang w:val="en-US" w:eastAsia="zh-CN"/>
              </w:rPr>
              <w:t xml:space="preserve">32 </w:t>
            </w:r>
          </w:p>
        </w:tc>
        <w:tc>
          <w:tcPr>
            <w:tcW w:w="3210" w:type="dxa"/>
            <w:tcBorders>
              <w:top w:val="single" w:color="auto" w:sz="4" w:space="0"/>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0778C651">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sz w:val="24"/>
                <w:szCs w:val="24"/>
                <w:highlight w:val="none"/>
                <w:vertAlign w:val="baseline"/>
                <w:lang w:val="en-US" w:eastAsia="zh-CN"/>
              </w:rPr>
            </w:pPr>
            <w:r>
              <w:rPr>
                <w:rFonts w:hint="default" w:ascii="Times New Roman" w:hAnsi="Times New Roman" w:eastAsia="华文仿宋" w:cs="Times New Roman"/>
                <w:sz w:val="24"/>
                <w:szCs w:val="24"/>
                <w:highlight w:val="none"/>
                <w:vertAlign w:val="baseline"/>
                <w:lang w:val="en-US" w:eastAsia="zh-CN"/>
              </w:rPr>
              <w:t xml:space="preserve">3.2 </w:t>
            </w:r>
          </w:p>
        </w:tc>
        <w:tc>
          <w:tcPr>
            <w:tcW w:w="1287" w:type="dxa"/>
            <w:tcBorders>
              <w:top w:val="single" w:color="auto" w:sz="4" w:space="0"/>
              <w:left w:val="single" w:color="000000" w:sz="8" w:space="0"/>
              <w:bottom w:val="single" w:color="000000" w:sz="8" w:space="0"/>
              <w:right w:val="single" w:color="auto" w:sz="4" w:space="0"/>
            </w:tcBorders>
            <w:shd w:val="clear" w:color="auto" w:fill="auto"/>
            <w:tcMar>
              <w:top w:w="15" w:type="dxa"/>
              <w:left w:w="15" w:type="dxa"/>
              <w:right w:w="15" w:type="dxa"/>
            </w:tcMar>
            <w:vAlign w:val="top"/>
          </w:tcPr>
          <w:p w14:paraId="4E8E7049">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sz w:val="24"/>
                <w:szCs w:val="24"/>
                <w:highlight w:val="none"/>
                <w:vertAlign w:val="baseline"/>
                <w:lang w:val="en-US" w:eastAsia="zh-CN"/>
              </w:rPr>
            </w:pPr>
            <w:r>
              <w:rPr>
                <w:rFonts w:hint="default" w:ascii="Times New Roman" w:hAnsi="Times New Roman" w:eastAsia="华文仿宋" w:cs="Times New Roman"/>
                <w:sz w:val="24"/>
                <w:szCs w:val="24"/>
                <w:highlight w:val="none"/>
                <w:vertAlign w:val="baseline"/>
                <w:lang w:val="en-US" w:eastAsia="zh-CN"/>
              </w:rPr>
              <w:t xml:space="preserve">3.8 </w:t>
            </w:r>
          </w:p>
        </w:tc>
      </w:tr>
      <w:tr w14:paraId="343C01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33" w:hRule="atLeast"/>
        </w:trPr>
        <w:tc>
          <w:tcPr>
            <w:tcW w:w="2510" w:type="dxa"/>
            <w:tcBorders>
              <w:top w:val="nil"/>
              <w:left w:val="single" w:color="auto" w:sz="4" w:space="0"/>
              <w:bottom w:val="single" w:color="000000" w:sz="8" w:space="0"/>
              <w:right w:val="single" w:color="000000" w:sz="8" w:space="0"/>
            </w:tcBorders>
            <w:shd w:val="clear" w:color="auto" w:fill="auto"/>
            <w:tcMar>
              <w:top w:w="15" w:type="dxa"/>
              <w:left w:w="15" w:type="dxa"/>
              <w:right w:w="15" w:type="dxa"/>
            </w:tcMar>
            <w:vAlign w:val="top"/>
          </w:tcPr>
          <w:p w14:paraId="304F8E64">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sz w:val="24"/>
                <w:szCs w:val="24"/>
                <w:highlight w:val="none"/>
                <w:vertAlign w:val="baseline"/>
                <w:lang w:val="en-US" w:eastAsia="zh-CN"/>
              </w:rPr>
            </w:pPr>
            <w:r>
              <w:rPr>
                <w:rFonts w:hint="default" w:ascii="Times New Roman" w:hAnsi="Times New Roman" w:eastAsia="华文仿宋" w:cs="Times New Roman"/>
                <w:sz w:val="24"/>
                <w:szCs w:val="24"/>
                <w:highlight w:val="none"/>
                <w:vertAlign w:val="baseline"/>
                <w:lang w:val="en-US" w:eastAsia="zh-CN"/>
              </w:rPr>
              <w:t>2028</w:t>
            </w:r>
          </w:p>
        </w:tc>
        <w:tc>
          <w:tcPr>
            <w:tcW w:w="215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454E1555">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sz w:val="24"/>
                <w:szCs w:val="24"/>
                <w:highlight w:val="none"/>
                <w:vertAlign w:val="baseline"/>
                <w:lang w:val="en-US" w:eastAsia="zh-CN"/>
              </w:rPr>
            </w:pPr>
            <w:r>
              <w:rPr>
                <w:rFonts w:hint="default" w:ascii="Times New Roman" w:hAnsi="Times New Roman" w:eastAsia="华文仿宋" w:cs="Times New Roman"/>
                <w:sz w:val="24"/>
                <w:szCs w:val="24"/>
                <w:highlight w:val="none"/>
                <w:vertAlign w:val="baseline"/>
                <w:lang w:val="en-US" w:eastAsia="zh-CN"/>
              </w:rPr>
              <w:t xml:space="preserve">30 </w:t>
            </w:r>
          </w:p>
        </w:tc>
        <w:tc>
          <w:tcPr>
            <w:tcW w:w="3210"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59525429">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sz w:val="24"/>
                <w:szCs w:val="24"/>
                <w:highlight w:val="none"/>
                <w:vertAlign w:val="baseline"/>
                <w:lang w:val="en-US" w:eastAsia="zh-CN"/>
              </w:rPr>
            </w:pPr>
            <w:r>
              <w:rPr>
                <w:rFonts w:hint="default" w:ascii="Times New Roman" w:hAnsi="Times New Roman" w:eastAsia="华文仿宋" w:cs="Times New Roman"/>
                <w:sz w:val="24"/>
                <w:szCs w:val="24"/>
                <w:highlight w:val="none"/>
                <w:vertAlign w:val="baseline"/>
                <w:lang w:val="en-US" w:eastAsia="zh-CN"/>
              </w:rPr>
              <w:t xml:space="preserve">3.0 </w:t>
            </w:r>
          </w:p>
        </w:tc>
        <w:tc>
          <w:tcPr>
            <w:tcW w:w="1287" w:type="dxa"/>
            <w:tcBorders>
              <w:top w:val="nil"/>
              <w:left w:val="single" w:color="000000" w:sz="8" w:space="0"/>
              <w:bottom w:val="single" w:color="000000" w:sz="8" w:space="0"/>
              <w:right w:val="single" w:color="auto" w:sz="4" w:space="0"/>
            </w:tcBorders>
            <w:shd w:val="clear" w:color="auto" w:fill="auto"/>
            <w:tcMar>
              <w:top w:w="15" w:type="dxa"/>
              <w:left w:w="15" w:type="dxa"/>
              <w:right w:w="15" w:type="dxa"/>
            </w:tcMar>
            <w:vAlign w:val="top"/>
          </w:tcPr>
          <w:p w14:paraId="30529511">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sz w:val="24"/>
                <w:szCs w:val="24"/>
                <w:highlight w:val="none"/>
                <w:vertAlign w:val="baseline"/>
                <w:lang w:val="en-US" w:eastAsia="zh-CN"/>
              </w:rPr>
            </w:pPr>
            <w:r>
              <w:rPr>
                <w:rFonts w:hint="default" w:ascii="Times New Roman" w:hAnsi="Times New Roman" w:eastAsia="华文仿宋" w:cs="Times New Roman"/>
                <w:sz w:val="24"/>
                <w:szCs w:val="24"/>
                <w:highlight w:val="none"/>
                <w:vertAlign w:val="baseline"/>
                <w:lang w:val="en-US" w:eastAsia="zh-CN"/>
              </w:rPr>
              <w:t xml:space="preserve">3.6 </w:t>
            </w:r>
          </w:p>
        </w:tc>
      </w:tr>
      <w:tr w14:paraId="74D1D9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33" w:hRule="atLeast"/>
        </w:trPr>
        <w:tc>
          <w:tcPr>
            <w:tcW w:w="2510" w:type="dxa"/>
            <w:tcBorders>
              <w:top w:val="nil"/>
              <w:left w:val="single" w:color="auto" w:sz="4" w:space="0"/>
              <w:bottom w:val="single" w:color="auto" w:sz="4" w:space="0"/>
              <w:right w:val="single" w:color="000000" w:sz="8" w:space="0"/>
            </w:tcBorders>
            <w:shd w:val="clear" w:color="auto" w:fill="auto"/>
            <w:tcMar>
              <w:top w:w="15" w:type="dxa"/>
              <w:left w:w="15" w:type="dxa"/>
              <w:right w:w="15" w:type="dxa"/>
            </w:tcMar>
            <w:vAlign w:val="top"/>
          </w:tcPr>
          <w:p w14:paraId="2E34A8DB">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sz w:val="24"/>
                <w:szCs w:val="24"/>
                <w:highlight w:val="none"/>
                <w:vertAlign w:val="baseline"/>
                <w:lang w:val="en-US" w:eastAsia="zh-CN"/>
              </w:rPr>
            </w:pPr>
            <w:r>
              <w:rPr>
                <w:rFonts w:hint="default" w:ascii="Times New Roman" w:hAnsi="Times New Roman" w:eastAsia="华文仿宋" w:cs="Times New Roman"/>
                <w:sz w:val="24"/>
                <w:szCs w:val="24"/>
                <w:highlight w:val="none"/>
                <w:vertAlign w:val="baseline"/>
                <w:lang w:val="en-US" w:eastAsia="zh-CN"/>
              </w:rPr>
              <w:t>2029</w:t>
            </w:r>
          </w:p>
        </w:tc>
        <w:tc>
          <w:tcPr>
            <w:tcW w:w="2153" w:type="dxa"/>
            <w:tcBorders>
              <w:top w:val="nil"/>
              <w:left w:val="single" w:color="000000" w:sz="8" w:space="0"/>
              <w:bottom w:val="single" w:color="auto" w:sz="4" w:space="0"/>
              <w:right w:val="single" w:color="000000" w:sz="8" w:space="0"/>
            </w:tcBorders>
            <w:shd w:val="clear" w:color="auto" w:fill="auto"/>
            <w:tcMar>
              <w:top w:w="15" w:type="dxa"/>
              <w:left w:w="15" w:type="dxa"/>
              <w:right w:w="15" w:type="dxa"/>
            </w:tcMar>
            <w:vAlign w:val="top"/>
          </w:tcPr>
          <w:p w14:paraId="0A38FBA9">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sz w:val="24"/>
                <w:szCs w:val="24"/>
                <w:highlight w:val="none"/>
                <w:vertAlign w:val="baseline"/>
                <w:lang w:val="en-US" w:eastAsia="zh-CN"/>
              </w:rPr>
            </w:pPr>
            <w:r>
              <w:rPr>
                <w:rFonts w:hint="default" w:ascii="Times New Roman" w:hAnsi="Times New Roman" w:eastAsia="华文仿宋" w:cs="Times New Roman"/>
                <w:sz w:val="24"/>
                <w:szCs w:val="24"/>
                <w:highlight w:val="none"/>
                <w:vertAlign w:val="baseline"/>
                <w:lang w:val="en-US" w:eastAsia="zh-CN"/>
              </w:rPr>
              <w:t xml:space="preserve">29 </w:t>
            </w:r>
          </w:p>
        </w:tc>
        <w:tc>
          <w:tcPr>
            <w:tcW w:w="3210" w:type="dxa"/>
            <w:tcBorders>
              <w:top w:val="nil"/>
              <w:left w:val="single" w:color="000000" w:sz="8" w:space="0"/>
              <w:bottom w:val="single" w:color="auto" w:sz="4" w:space="0"/>
              <w:right w:val="single" w:color="000000" w:sz="8" w:space="0"/>
            </w:tcBorders>
            <w:shd w:val="clear" w:color="auto" w:fill="auto"/>
            <w:tcMar>
              <w:top w:w="15" w:type="dxa"/>
              <w:left w:w="15" w:type="dxa"/>
              <w:right w:w="15" w:type="dxa"/>
            </w:tcMar>
            <w:vAlign w:val="top"/>
          </w:tcPr>
          <w:p w14:paraId="36F69232">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sz w:val="24"/>
                <w:szCs w:val="24"/>
                <w:highlight w:val="none"/>
                <w:vertAlign w:val="baseline"/>
                <w:lang w:val="en-US" w:eastAsia="zh-CN"/>
              </w:rPr>
            </w:pPr>
            <w:r>
              <w:rPr>
                <w:rFonts w:hint="default" w:ascii="Times New Roman" w:hAnsi="Times New Roman" w:eastAsia="华文仿宋" w:cs="Times New Roman"/>
                <w:sz w:val="24"/>
                <w:szCs w:val="24"/>
                <w:highlight w:val="none"/>
                <w:vertAlign w:val="baseline"/>
                <w:lang w:val="en-US" w:eastAsia="zh-CN"/>
              </w:rPr>
              <w:t xml:space="preserve">2.9 </w:t>
            </w:r>
          </w:p>
        </w:tc>
        <w:tc>
          <w:tcPr>
            <w:tcW w:w="1287" w:type="dxa"/>
            <w:tcBorders>
              <w:top w:val="nil"/>
              <w:left w:val="single" w:color="000000" w:sz="8" w:space="0"/>
              <w:bottom w:val="single" w:color="auto" w:sz="4" w:space="0"/>
              <w:right w:val="single" w:color="auto" w:sz="4" w:space="0"/>
            </w:tcBorders>
            <w:shd w:val="clear" w:color="auto" w:fill="auto"/>
            <w:tcMar>
              <w:top w:w="15" w:type="dxa"/>
              <w:left w:w="15" w:type="dxa"/>
              <w:right w:w="15" w:type="dxa"/>
            </w:tcMar>
            <w:vAlign w:val="top"/>
          </w:tcPr>
          <w:p w14:paraId="7853DC83">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sz w:val="24"/>
                <w:szCs w:val="24"/>
                <w:highlight w:val="none"/>
                <w:vertAlign w:val="baseline"/>
                <w:lang w:val="en-US" w:eastAsia="zh-CN"/>
              </w:rPr>
            </w:pPr>
            <w:r>
              <w:rPr>
                <w:rFonts w:hint="default" w:ascii="Times New Roman" w:hAnsi="Times New Roman" w:eastAsia="华文仿宋" w:cs="Times New Roman"/>
                <w:sz w:val="24"/>
                <w:szCs w:val="24"/>
                <w:highlight w:val="none"/>
                <w:vertAlign w:val="baseline"/>
                <w:lang w:val="en-US" w:eastAsia="zh-CN"/>
              </w:rPr>
              <w:t xml:space="preserve">3.4 </w:t>
            </w:r>
          </w:p>
        </w:tc>
      </w:tr>
      <w:tr w14:paraId="2EC7F1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33" w:hRule="atLeast"/>
        </w:trPr>
        <w:tc>
          <w:tcPr>
            <w:tcW w:w="2510" w:type="dxa"/>
            <w:tcBorders>
              <w:top w:val="single" w:color="auto" w:sz="4" w:space="0"/>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2F1CF6BC">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sz w:val="24"/>
                <w:szCs w:val="24"/>
                <w:highlight w:val="none"/>
                <w:vertAlign w:val="baseline"/>
                <w:lang w:val="en-US" w:eastAsia="zh-CN"/>
              </w:rPr>
            </w:pPr>
            <w:r>
              <w:rPr>
                <w:rFonts w:hint="default" w:ascii="Times New Roman" w:hAnsi="Times New Roman" w:eastAsia="华文仿宋" w:cs="Times New Roman"/>
                <w:sz w:val="24"/>
                <w:szCs w:val="24"/>
                <w:highlight w:val="none"/>
                <w:vertAlign w:val="baseline"/>
                <w:lang w:val="en-US" w:eastAsia="zh-CN"/>
              </w:rPr>
              <w:t>2030</w:t>
            </w:r>
          </w:p>
        </w:tc>
        <w:tc>
          <w:tcPr>
            <w:tcW w:w="2153" w:type="dxa"/>
            <w:tcBorders>
              <w:top w:val="single" w:color="auto" w:sz="4" w:space="0"/>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652AE896">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sz w:val="24"/>
                <w:szCs w:val="24"/>
                <w:highlight w:val="none"/>
                <w:vertAlign w:val="baseline"/>
                <w:lang w:val="en-US" w:eastAsia="zh-CN"/>
              </w:rPr>
            </w:pPr>
            <w:r>
              <w:rPr>
                <w:rFonts w:hint="default" w:ascii="Times New Roman" w:hAnsi="Times New Roman" w:eastAsia="华文仿宋" w:cs="Times New Roman"/>
                <w:sz w:val="24"/>
                <w:szCs w:val="24"/>
                <w:highlight w:val="none"/>
                <w:vertAlign w:val="baseline"/>
                <w:lang w:val="en-US" w:eastAsia="zh-CN"/>
              </w:rPr>
              <w:t xml:space="preserve">27 </w:t>
            </w:r>
          </w:p>
        </w:tc>
        <w:tc>
          <w:tcPr>
            <w:tcW w:w="3210" w:type="dxa"/>
            <w:tcBorders>
              <w:top w:val="single" w:color="auto" w:sz="4" w:space="0"/>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76A85EB0">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sz w:val="24"/>
                <w:szCs w:val="24"/>
                <w:highlight w:val="none"/>
                <w:vertAlign w:val="baseline"/>
                <w:lang w:val="en-US" w:eastAsia="zh-CN"/>
              </w:rPr>
            </w:pPr>
            <w:r>
              <w:rPr>
                <w:rFonts w:hint="default" w:ascii="Times New Roman" w:hAnsi="Times New Roman" w:eastAsia="华文仿宋" w:cs="Times New Roman"/>
                <w:sz w:val="24"/>
                <w:szCs w:val="24"/>
                <w:highlight w:val="none"/>
                <w:vertAlign w:val="baseline"/>
                <w:lang w:val="en-US" w:eastAsia="zh-CN"/>
              </w:rPr>
              <w:t xml:space="preserve">2.7 </w:t>
            </w:r>
          </w:p>
        </w:tc>
        <w:tc>
          <w:tcPr>
            <w:tcW w:w="1287" w:type="dxa"/>
            <w:tcBorders>
              <w:top w:val="single" w:color="auto" w:sz="4" w:space="0"/>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5D4E168B">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sz w:val="24"/>
                <w:szCs w:val="24"/>
                <w:highlight w:val="none"/>
                <w:vertAlign w:val="baseline"/>
                <w:lang w:val="en-US" w:eastAsia="zh-CN"/>
              </w:rPr>
            </w:pPr>
            <w:r>
              <w:rPr>
                <w:rFonts w:hint="default" w:ascii="Times New Roman" w:hAnsi="Times New Roman" w:eastAsia="华文仿宋" w:cs="Times New Roman"/>
                <w:sz w:val="24"/>
                <w:szCs w:val="24"/>
                <w:highlight w:val="none"/>
                <w:vertAlign w:val="baseline"/>
                <w:lang w:val="en-US" w:eastAsia="zh-CN"/>
              </w:rPr>
              <w:t xml:space="preserve">3.3 </w:t>
            </w:r>
          </w:p>
        </w:tc>
      </w:tr>
      <w:tr w14:paraId="6A1E0C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33" w:hRule="atLeast"/>
        </w:trPr>
        <w:tc>
          <w:tcPr>
            <w:tcW w:w="2510"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5AD4F143">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sz w:val="24"/>
                <w:szCs w:val="24"/>
                <w:highlight w:val="none"/>
                <w:vertAlign w:val="baseline"/>
                <w:lang w:val="en-US" w:eastAsia="zh-CN"/>
              </w:rPr>
            </w:pPr>
            <w:r>
              <w:rPr>
                <w:rFonts w:hint="default" w:ascii="Times New Roman" w:hAnsi="Times New Roman" w:eastAsia="华文仿宋" w:cs="Times New Roman"/>
                <w:sz w:val="24"/>
                <w:szCs w:val="24"/>
                <w:highlight w:val="none"/>
                <w:vertAlign w:val="baseline"/>
                <w:lang w:val="en-US" w:eastAsia="zh-CN"/>
              </w:rPr>
              <w:t>2031</w:t>
            </w:r>
          </w:p>
        </w:tc>
        <w:tc>
          <w:tcPr>
            <w:tcW w:w="215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6817DD11">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sz w:val="24"/>
                <w:szCs w:val="24"/>
                <w:highlight w:val="none"/>
                <w:vertAlign w:val="baseline"/>
                <w:lang w:val="en-US" w:eastAsia="zh-CN"/>
              </w:rPr>
            </w:pPr>
            <w:r>
              <w:rPr>
                <w:rFonts w:hint="default" w:ascii="Times New Roman" w:hAnsi="Times New Roman" w:eastAsia="华文仿宋" w:cs="Times New Roman"/>
                <w:sz w:val="24"/>
                <w:szCs w:val="24"/>
                <w:highlight w:val="none"/>
                <w:vertAlign w:val="baseline"/>
                <w:lang w:val="en-US" w:eastAsia="zh-CN"/>
              </w:rPr>
              <w:t xml:space="preserve">26 </w:t>
            </w:r>
          </w:p>
        </w:tc>
        <w:tc>
          <w:tcPr>
            <w:tcW w:w="3210"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5B8FF521">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sz w:val="24"/>
                <w:szCs w:val="24"/>
                <w:highlight w:val="none"/>
                <w:vertAlign w:val="baseline"/>
                <w:lang w:val="en-US" w:eastAsia="zh-CN"/>
              </w:rPr>
            </w:pPr>
            <w:r>
              <w:rPr>
                <w:rFonts w:hint="default" w:ascii="Times New Roman" w:hAnsi="Times New Roman" w:eastAsia="华文仿宋" w:cs="Times New Roman"/>
                <w:sz w:val="24"/>
                <w:szCs w:val="24"/>
                <w:highlight w:val="none"/>
                <w:vertAlign w:val="baseline"/>
                <w:lang w:val="en-US" w:eastAsia="zh-CN"/>
              </w:rPr>
              <w:t xml:space="preserve">2.6 </w:t>
            </w:r>
          </w:p>
        </w:tc>
        <w:tc>
          <w:tcPr>
            <w:tcW w:w="1287"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547FCAA1">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sz w:val="24"/>
                <w:szCs w:val="24"/>
                <w:highlight w:val="none"/>
                <w:vertAlign w:val="baseline"/>
                <w:lang w:val="en-US" w:eastAsia="zh-CN"/>
              </w:rPr>
            </w:pPr>
            <w:r>
              <w:rPr>
                <w:rFonts w:hint="default" w:ascii="Times New Roman" w:hAnsi="Times New Roman" w:eastAsia="华文仿宋" w:cs="Times New Roman"/>
                <w:sz w:val="24"/>
                <w:szCs w:val="24"/>
                <w:highlight w:val="none"/>
                <w:vertAlign w:val="baseline"/>
                <w:lang w:val="en-US" w:eastAsia="zh-CN"/>
              </w:rPr>
              <w:t xml:space="preserve">3.1 </w:t>
            </w:r>
          </w:p>
        </w:tc>
      </w:tr>
      <w:tr w14:paraId="233D864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33" w:hRule="atLeast"/>
        </w:trPr>
        <w:tc>
          <w:tcPr>
            <w:tcW w:w="2510" w:type="dxa"/>
            <w:tcBorders>
              <w:top w:val="nil"/>
              <w:left w:val="single" w:color="000000" w:sz="8" w:space="0"/>
              <w:bottom w:val="single" w:color="auto" w:sz="4" w:space="0"/>
              <w:right w:val="single" w:color="000000" w:sz="8" w:space="0"/>
            </w:tcBorders>
            <w:shd w:val="clear" w:color="auto" w:fill="auto"/>
            <w:tcMar>
              <w:top w:w="15" w:type="dxa"/>
              <w:left w:w="15" w:type="dxa"/>
              <w:right w:w="15" w:type="dxa"/>
            </w:tcMar>
            <w:vAlign w:val="top"/>
          </w:tcPr>
          <w:p w14:paraId="3CE24514">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sz w:val="24"/>
                <w:szCs w:val="24"/>
                <w:highlight w:val="none"/>
                <w:vertAlign w:val="baseline"/>
                <w:lang w:val="en-US" w:eastAsia="zh-CN"/>
              </w:rPr>
            </w:pPr>
            <w:r>
              <w:rPr>
                <w:rFonts w:hint="default" w:ascii="Times New Roman" w:hAnsi="Times New Roman" w:eastAsia="华文仿宋" w:cs="Times New Roman"/>
                <w:sz w:val="24"/>
                <w:szCs w:val="24"/>
                <w:highlight w:val="none"/>
                <w:vertAlign w:val="baseline"/>
                <w:lang w:val="en-US" w:eastAsia="zh-CN"/>
              </w:rPr>
              <w:t>2032</w:t>
            </w:r>
          </w:p>
        </w:tc>
        <w:tc>
          <w:tcPr>
            <w:tcW w:w="2153" w:type="dxa"/>
            <w:tcBorders>
              <w:top w:val="nil"/>
              <w:left w:val="single" w:color="000000" w:sz="8" w:space="0"/>
              <w:bottom w:val="single" w:color="auto" w:sz="4" w:space="0"/>
              <w:right w:val="single" w:color="000000" w:sz="8" w:space="0"/>
            </w:tcBorders>
            <w:shd w:val="clear" w:color="auto" w:fill="auto"/>
            <w:tcMar>
              <w:top w:w="15" w:type="dxa"/>
              <w:left w:w="15" w:type="dxa"/>
              <w:right w:w="15" w:type="dxa"/>
            </w:tcMar>
            <w:vAlign w:val="top"/>
          </w:tcPr>
          <w:p w14:paraId="69DB407D">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sz w:val="24"/>
                <w:szCs w:val="24"/>
                <w:highlight w:val="none"/>
                <w:vertAlign w:val="baseline"/>
                <w:lang w:val="en-US" w:eastAsia="zh-CN"/>
              </w:rPr>
            </w:pPr>
            <w:r>
              <w:rPr>
                <w:rFonts w:hint="default" w:ascii="Times New Roman" w:hAnsi="Times New Roman" w:eastAsia="华文仿宋" w:cs="Times New Roman"/>
                <w:sz w:val="24"/>
                <w:szCs w:val="24"/>
                <w:highlight w:val="none"/>
                <w:vertAlign w:val="baseline"/>
                <w:lang w:val="en-US" w:eastAsia="zh-CN"/>
              </w:rPr>
              <w:t xml:space="preserve">25 </w:t>
            </w:r>
          </w:p>
        </w:tc>
        <w:tc>
          <w:tcPr>
            <w:tcW w:w="3210" w:type="dxa"/>
            <w:tcBorders>
              <w:top w:val="nil"/>
              <w:left w:val="single" w:color="000000" w:sz="8" w:space="0"/>
              <w:bottom w:val="single" w:color="auto" w:sz="4" w:space="0"/>
              <w:right w:val="single" w:color="000000" w:sz="8" w:space="0"/>
            </w:tcBorders>
            <w:shd w:val="clear" w:color="auto" w:fill="auto"/>
            <w:tcMar>
              <w:top w:w="15" w:type="dxa"/>
              <w:left w:w="15" w:type="dxa"/>
              <w:right w:w="15" w:type="dxa"/>
            </w:tcMar>
            <w:vAlign w:val="top"/>
          </w:tcPr>
          <w:p w14:paraId="794FB85D">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sz w:val="24"/>
                <w:szCs w:val="24"/>
                <w:highlight w:val="none"/>
                <w:vertAlign w:val="baseline"/>
                <w:lang w:val="en-US" w:eastAsia="zh-CN"/>
              </w:rPr>
            </w:pPr>
            <w:r>
              <w:rPr>
                <w:rFonts w:hint="default" w:ascii="Times New Roman" w:hAnsi="Times New Roman" w:eastAsia="华文仿宋" w:cs="Times New Roman"/>
                <w:sz w:val="24"/>
                <w:szCs w:val="24"/>
                <w:highlight w:val="none"/>
                <w:vertAlign w:val="baseline"/>
                <w:lang w:val="en-US" w:eastAsia="zh-CN"/>
              </w:rPr>
              <w:t xml:space="preserve">2.5 </w:t>
            </w:r>
          </w:p>
        </w:tc>
        <w:tc>
          <w:tcPr>
            <w:tcW w:w="1287" w:type="dxa"/>
            <w:tcBorders>
              <w:top w:val="nil"/>
              <w:left w:val="single" w:color="000000" w:sz="8" w:space="0"/>
              <w:bottom w:val="single" w:color="auto" w:sz="4" w:space="0"/>
              <w:right w:val="single" w:color="000000" w:sz="8" w:space="0"/>
            </w:tcBorders>
            <w:shd w:val="clear" w:color="auto" w:fill="auto"/>
            <w:tcMar>
              <w:top w:w="15" w:type="dxa"/>
              <w:left w:w="15" w:type="dxa"/>
              <w:right w:w="15" w:type="dxa"/>
            </w:tcMar>
            <w:vAlign w:val="top"/>
          </w:tcPr>
          <w:p w14:paraId="446B41DC">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sz w:val="24"/>
                <w:szCs w:val="24"/>
                <w:highlight w:val="none"/>
                <w:vertAlign w:val="baseline"/>
                <w:lang w:val="en-US" w:eastAsia="zh-CN"/>
              </w:rPr>
            </w:pPr>
            <w:r>
              <w:rPr>
                <w:rFonts w:hint="default" w:ascii="Times New Roman" w:hAnsi="Times New Roman" w:eastAsia="华文仿宋" w:cs="Times New Roman"/>
                <w:sz w:val="24"/>
                <w:szCs w:val="24"/>
                <w:highlight w:val="none"/>
                <w:vertAlign w:val="baseline"/>
                <w:lang w:val="en-US" w:eastAsia="zh-CN"/>
              </w:rPr>
              <w:t xml:space="preserve">2.9 </w:t>
            </w:r>
          </w:p>
        </w:tc>
      </w:tr>
      <w:tr w14:paraId="315444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33" w:hRule="atLeast"/>
        </w:trPr>
        <w:tc>
          <w:tcPr>
            <w:tcW w:w="2510" w:type="dxa"/>
            <w:tcBorders>
              <w:top w:val="single" w:color="auto" w:sz="4" w:space="0"/>
              <w:left w:val="single" w:color="auto" w:sz="4" w:space="0"/>
              <w:bottom w:val="single" w:color="000000" w:sz="8" w:space="0"/>
              <w:right w:val="single" w:color="000000" w:sz="8" w:space="0"/>
            </w:tcBorders>
            <w:shd w:val="clear" w:color="auto" w:fill="auto"/>
            <w:tcMar>
              <w:top w:w="15" w:type="dxa"/>
              <w:left w:w="15" w:type="dxa"/>
              <w:right w:w="15" w:type="dxa"/>
            </w:tcMar>
            <w:vAlign w:val="top"/>
          </w:tcPr>
          <w:p w14:paraId="6B94605B">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sz w:val="24"/>
                <w:szCs w:val="24"/>
                <w:highlight w:val="none"/>
                <w:vertAlign w:val="baseline"/>
                <w:lang w:val="en-US" w:eastAsia="zh-CN"/>
              </w:rPr>
            </w:pPr>
            <w:r>
              <w:rPr>
                <w:rFonts w:hint="default" w:ascii="Times New Roman" w:hAnsi="Times New Roman" w:eastAsia="华文仿宋" w:cs="Times New Roman"/>
                <w:sz w:val="24"/>
                <w:szCs w:val="24"/>
                <w:highlight w:val="none"/>
                <w:vertAlign w:val="baseline"/>
                <w:lang w:val="en-US" w:eastAsia="zh-CN"/>
              </w:rPr>
              <w:t>2033</w:t>
            </w:r>
          </w:p>
        </w:tc>
        <w:tc>
          <w:tcPr>
            <w:tcW w:w="2153" w:type="dxa"/>
            <w:tcBorders>
              <w:top w:val="single" w:color="auto" w:sz="4" w:space="0"/>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1AFC3420">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sz w:val="24"/>
                <w:szCs w:val="24"/>
                <w:highlight w:val="none"/>
                <w:vertAlign w:val="baseline"/>
                <w:lang w:val="en-US" w:eastAsia="zh-CN"/>
              </w:rPr>
            </w:pPr>
            <w:r>
              <w:rPr>
                <w:rFonts w:hint="default" w:ascii="Times New Roman" w:hAnsi="Times New Roman" w:eastAsia="华文仿宋" w:cs="Times New Roman"/>
                <w:sz w:val="24"/>
                <w:szCs w:val="24"/>
                <w:highlight w:val="none"/>
                <w:vertAlign w:val="baseline"/>
                <w:lang w:val="en-US" w:eastAsia="zh-CN"/>
              </w:rPr>
              <w:t xml:space="preserve">23 </w:t>
            </w:r>
          </w:p>
        </w:tc>
        <w:tc>
          <w:tcPr>
            <w:tcW w:w="3210" w:type="dxa"/>
            <w:tcBorders>
              <w:top w:val="single" w:color="auto" w:sz="4" w:space="0"/>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52AD5414">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sz w:val="24"/>
                <w:szCs w:val="24"/>
                <w:highlight w:val="none"/>
                <w:vertAlign w:val="baseline"/>
                <w:lang w:val="en-US" w:eastAsia="zh-CN"/>
              </w:rPr>
            </w:pPr>
            <w:r>
              <w:rPr>
                <w:rFonts w:hint="default" w:ascii="Times New Roman" w:hAnsi="Times New Roman" w:eastAsia="华文仿宋" w:cs="Times New Roman"/>
                <w:sz w:val="24"/>
                <w:szCs w:val="24"/>
                <w:highlight w:val="none"/>
                <w:vertAlign w:val="baseline"/>
                <w:lang w:val="en-US" w:eastAsia="zh-CN"/>
              </w:rPr>
              <w:t xml:space="preserve">2.3 </w:t>
            </w:r>
          </w:p>
        </w:tc>
        <w:tc>
          <w:tcPr>
            <w:tcW w:w="1287" w:type="dxa"/>
            <w:tcBorders>
              <w:top w:val="single" w:color="auto" w:sz="4" w:space="0"/>
              <w:left w:val="single" w:color="000000" w:sz="8" w:space="0"/>
              <w:bottom w:val="single" w:color="000000" w:sz="8" w:space="0"/>
              <w:right w:val="single" w:color="auto" w:sz="4" w:space="0"/>
            </w:tcBorders>
            <w:shd w:val="clear" w:color="auto" w:fill="auto"/>
            <w:tcMar>
              <w:top w:w="15" w:type="dxa"/>
              <w:left w:w="15" w:type="dxa"/>
              <w:right w:w="15" w:type="dxa"/>
            </w:tcMar>
            <w:vAlign w:val="top"/>
          </w:tcPr>
          <w:p w14:paraId="6EA27D86">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sz w:val="24"/>
                <w:szCs w:val="24"/>
                <w:highlight w:val="none"/>
                <w:vertAlign w:val="baseline"/>
                <w:lang w:val="en-US" w:eastAsia="zh-CN"/>
              </w:rPr>
            </w:pPr>
            <w:r>
              <w:rPr>
                <w:rFonts w:hint="default" w:ascii="Times New Roman" w:hAnsi="Times New Roman" w:eastAsia="华文仿宋" w:cs="Times New Roman"/>
                <w:sz w:val="24"/>
                <w:szCs w:val="24"/>
                <w:highlight w:val="none"/>
                <w:vertAlign w:val="baseline"/>
                <w:lang w:val="en-US" w:eastAsia="zh-CN"/>
              </w:rPr>
              <w:t xml:space="preserve">2.8 </w:t>
            </w:r>
          </w:p>
        </w:tc>
      </w:tr>
      <w:tr w14:paraId="56B471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33" w:hRule="atLeast"/>
        </w:trPr>
        <w:tc>
          <w:tcPr>
            <w:tcW w:w="2510" w:type="dxa"/>
            <w:tcBorders>
              <w:top w:val="nil"/>
              <w:left w:val="single" w:color="auto" w:sz="4" w:space="0"/>
              <w:bottom w:val="single" w:color="000000" w:sz="8" w:space="0"/>
              <w:right w:val="single" w:color="000000" w:sz="8" w:space="0"/>
            </w:tcBorders>
            <w:shd w:val="clear" w:color="auto" w:fill="auto"/>
            <w:tcMar>
              <w:top w:w="15" w:type="dxa"/>
              <w:left w:w="15" w:type="dxa"/>
              <w:right w:w="15" w:type="dxa"/>
            </w:tcMar>
            <w:vAlign w:val="top"/>
          </w:tcPr>
          <w:p w14:paraId="0CD9D0D9">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sz w:val="24"/>
                <w:szCs w:val="24"/>
                <w:highlight w:val="none"/>
                <w:vertAlign w:val="baseline"/>
                <w:lang w:val="en-US" w:eastAsia="zh-CN"/>
              </w:rPr>
            </w:pPr>
            <w:r>
              <w:rPr>
                <w:rFonts w:hint="default" w:ascii="Times New Roman" w:hAnsi="Times New Roman" w:eastAsia="华文仿宋" w:cs="Times New Roman"/>
                <w:sz w:val="24"/>
                <w:szCs w:val="24"/>
                <w:highlight w:val="none"/>
                <w:vertAlign w:val="baseline"/>
                <w:lang w:val="en-US" w:eastAsia="zh-CN"/>
              </w:rPr>
              <w:t>2034</w:t>
            </w:r>
          </w:p>
        </w:tc>
        <w:tc>
          <w:tcPr>
            <w:tcW w:w="215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47E48E1C">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sz w:val="24"/>
                <w:szCs w:val="24"/>
                <w:highlight w:val="none"/>
                <w:vertAlign w:val="baseline"/>
                <w:lang w:val="en-US" w:eastAsia="zh-CN"/>
              </w:rPr>
            </w:pPr>
            <w:r>
              <w:rPr>
                <w:rFonts w:hint="default" w:ascii="Times New Roman" w:hAnsi="Times New Roman" w:eastAsia="华文仿宋" w:cs="Times New Roman"/>
                <w:sz w:val="24"/>
                <w:szCs w:val="24"/>
                <w:highlight w:val="none"/>
                <w:vertAlign w:val="baseline"/>
                <w:lang w:val="en-US" w:eastAsia="zh-CN"/>
              </w:rPr>
              <w:t xml:space="preserve">22 </w:t>
            </w:r>
          </w:p>
        </w:tc>
        <w:tc>
          <w:tcPr>
            <w:tcW w:w="3210"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32B5032F">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sz w:val="24"/>
                <w:szCs w:val="24"/>
                <w:highlight w:val="none"/>
                <w:vertAlign w:val="baseline"/>
                <w:lang w:val="en-US" w:eastAsia="zh-CN"/>
              </w:rPr>
            </w:pPr>
            <w:r>
              <w:rPr>
                <w:rFonts w:hint="default" w:ascii="Times New Roman" w:hAnsi="Times New Roman" w:eastAsia="华文仿宋" w:cs="Times New Roman"/>
                <w:sz w:val="24"/>
                <w:szCs w:val="24"/>
                <w:highlight w:val="none"/>
                <w:vertAlign w:val="baseline"/>
                <w:lang w:val="en-US" w:eastAsia="zh-CN"/>
              </w:rPr>
              <w:t xml:space="preserve">2.2 </w:t>
            </w:r>
          </w:p>
        </w:tc>
        <w:tc>
          <w:tcPr>
            <w:tcW w:w="1287" w:type="dxa"/>
            <w:tcBorders>
              <w:top w:val="nil"/>
              <w:left w:val="single" w:color="000000" w:sz="8" w:space="0"/>
              <w:bottom w:val="single" w:color="000000" w:sz="8" w:space="0"/>
              <w:right w:val="single" w:color="auto" w:sz="4" w:space="0"/>
            </w:tcBorders>
            <w:shd w:val="clear" w:color="auto" w:fill="auto"/>
            <w:tcMar>
              <w:top w:w="15" w:type="dxa"/>
              <w:left w:w="15" w:type="dxa"/>
              <w:right w:w="15" w:type="dxa"/>
            </w:tcMar>
            <w:vAlign w:val="top"/>
          </w:tcPr>
          <w:p w14:paraId="61857ACD">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sz w:val="24"/>
                <w:szCs w:val="24"/>
                <w:highlight w:val="none"/>
                <w:vertAlign w:val="baseline"/>
                <w:lang w:val="en-US" w:eastAsia="zh-CN"/>
              </w:rPr>
            </w:pPr>
            <w:r>
              <w:rPr>
                <w:rFonts w:hint="default" w:ascii="Times New Roman" w:hAnsi="Times New Roman" w:eastAsia="华文仿宋" w:cs="Times New Roman"/>
                <w:sz w:val="24"/>
                <w:szCs w:val="24"/>
                <w:highlight w:val="none"/>
                <w:vertAlign w:val="baseline"/>
                <w:lang w:val="en-US" w:eastAsia="zh-CN"/>
              </w:rPr>
              <w:t xml:space="preserve">2.7 </w:t>
            </w:r>
          </w:p>
        </w:tc>
      </w:tr>
      <w:tr w14:paraId="372E915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33" w:hRule="atLeast"/>
        </w:trPr>
        <w:tc>
          <w:tcPr>
            <w:tcW w:w="2510" w:type="dxa"/>
            <w:tcBorders>
              <w:top w:val="nil"/>
              <w:left w:val="single" w:color="auto" w:sz="4" w:space="0"/>
              <w:bottom w:val="single" w:color="000000" w:sz="8" w:space="0"/>
              <w:right w:val="single" w:color="000000" w:sz="8" w:space="0"/>
            </w:tcBorders>
            <w:shd w:val="clear" w:color="auto" w:fill="auto"/>
            <w:tcMar>
              <w:top w:w="15" w:type="dxa"/>
              <w:left w:w="15" w:type="dxa"/>
              <w:right w:w="15" w:type="dxa"/>
            </w:tcMar>
            <w:vAlign w:val="top"/>
          </w:tcPr>
          <w:p w14:paraId="7DF40154">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sz w:val="24"/>
                <w:szCs w:val="24"/>
                <w:highlight w:val="none"/>
                <w:vertAlign w:val="baseline"/>
                <w:lang w:val="en-US" w:eastAsia="zh-CN"/>
              </w:rPr>
            </w:pPr>
            <w:r>
              <w:rPr>
                <w:rFonts w:hint="default" w:ascii="Times New Roman" w:hAnsi="Times New Roman" w:eastAsia="华文仿宋" w:cs="Times New Roman"/>
                <w:sz w:val="24"/>
                <w:szCs w:val="24"/>
                <w:highlight w:val="none"/>
                <w:vertAlign w:val="baseline"/>
                <w:lang w:val="en-US" w:eastAsia="zh-CN"/>
              </w:rPr>
              <w:t>2035</w:t>
            </w:r>
          </w:p>
        </w:tc>
        <w:tc>
          <w:tcPr>
            <w:tcW w:w="215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1F213C6C">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sz w:val="24"/>
                <w:szCs w:val="24"/>
                <w:highlight w:val="none"/>
                <w:vertAlign w:val="baseline"/>
                <w:lang w:val="en-US" w:eastAsia="zh-CN"/>
              </w:rPr>
            </w:pPr>
            <w:r>
              <w:rPr>
                <w:rFonts w:hint="default" w:ascii="Times New Roman" w:hAnsi="Times New Roman" w:eastAsia="华文仿宋" w:cs="Times New Roman"/>
                <w:sz w:val="24"/>
                <w:szCs w:val="24"/>
                <w:highlight w:val="none"/>
                <w:vertAlign w:val="baseline"/>
                <w:lang w:val="en-US" w:eastAsia="zh-CN"/>
              </w:rPr>
              <w:t xml:space="preserve">21 </w:t>
            </w:r>
          </w:p>
        </w:tc>
        <w:tc>
          <w:tcPr>
            <w:tcW w:w="3210"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0143142E">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sz w:val="24"/>
                <w:szCs w:val="24"/>
                <w:highlight w:val="none"/>
                <w:vertAlign w:val="baseline"/>
                <w:lang w:val="en-US" w:eastAsia="zh-CN"/>
              </w:rPr>
            </w:pPr>
            <w:r>
              <w:rPr>
                <w:rFonts w:hint="default" w:ascii="Times New Roman" w:hAnsi="Times New Roman" w:eastAsia="华文仿宋" w:cs="Times New Roman"/>
                <w:sz w:val="24"/>
                <w:szCs w:val="24"/>
                <w:highlight w:val="none"/>
                <w:vertAlign w:val="baseline"/>
                <w:lang w:val="en-US" w:eastAsia="zh-CN"/>
              </w:rPr>
              <w:t xml:space="preserve">2.1 </w:t>
            </w:r>
          </w:p>
        </w:tc>
        <w:tc>
          <w:tcPr>
            <w:tcW w:w="1287" w:type="dxa"/>
            <w:tcBorders>
              <w:top w:val="nil"/>
              <w:left w:val="single" w:color="000000" w:sz="8" w:space="0"/>
              <w:bottom w:val="single" w:color="000000" w:sz="8" w:space="0"/>
              <w:right w:val="single" w:color="auto" w:sz="4" w:space="0"/>
            </w:tcBorders>
            <w:shd w:val="clear" w:color="auto" w:fill="auto"/>
            <w:tcMar>
              <w:top w:w="15" w:type="dxa"/>
              <w:left w:w="15" w:type="dxa"/>
              <w:right w:w="15" w:type="dxa"/>
            </w:tcMar>
            <w:vAlign w:val="top"/>
          </w:tcPr>
          <w:p w14:paraId="3EB595E3">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sz w:val="24"/>
                <w:szCs w:val="24"/>
                <w:highlight w:val="none"/>
                <w:vertAlign w:val="baseline"/>
                <w:lang w:val="en-US" w:eastAsia="zh-CN"/>
              </w:rPr>
            </w:pPr>
            <w:r>
              <w:rPr>
                <w:rFonts w:hint="default" w:ascii="Times New Roman" w:hAnsi="Times New Roman" w:eastAsia="华文仿宋" w:cs="Times New Roman"/>
                <w:sz w:val="24"/>
                <w:szCs w:val="24"/>
                <w:highlight w:val="none"/>
                <w:vertAlign w:val="baseline"/>
                <w:lang w:val="en-US" w:eastAsia="zh-CN"/>
              </w:rPr>
              <w:t xml:space="preserve">2.5 </w:t>
            </w:r>
          </w:p>
        </w:tc>
      </w:tr>
      <w:tr w14:paraId="67B210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33" w:hRule="atLeast"/>
        </w:trPr>
        <w:tc>
          <w:tcPr>
            <w:tcW w:w="2510" w:type="dxa"/>
            <w:tcBorders>
              <w:top w:val="nil"/>
              <w:left w:val="single" w:color="auto" w:sz="4" w:space="0"/>
              <w:bottom w:val="single" w:color="000000" w:sz="8" w:space="0"/>
              <w:right w:val="single" w:color="000000" w:sz="8" w:space="0"/>
            </w:tcBorders>
            <w:shd w:val="clear" w:color="auto" w:fill="auto"/>
            <w:noWrap/>
            <w:tcMar>
              <w:top w:w="15" w:type="dxa"/>
              <w:left w:w="15" w:type="dxa"/>
              <w:right w:w="15" w:type="dxa"/>
            </w:tcMar>
            <w:vAlign w:val="top"/>
          </w:tcPr>
          <w:p w14:paraId="5B0AFDC0">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sz w:val="24"/>
                <w:szCs w:val="24"/>
                <w:highlight w:val="none"/>
                <w:vertAlign w:val="baseline"/>
                <w:lang w:val="en-US" w:eastAsia="zh-CN"/>
              </w:rPr>
            </w:pPr>
            <w:r>
              <w:rPr>
                <w:rFonts w:hint="eastAsia" w:ascii="仿宋_GB2312" w:hAnsi="仿宋_GB2312" w:eastAsia="仿宋_GB2312" w:cs="仿宋_GB2312"/>
                <w:sz w:val="24"/>
                <w:szCs w:val="24"/>
                <w:highlight w:val="none"/>
                <w:vertAlign w:val="baseline"/>
                <w:lang w:val="en-US" w:eastAsia="zh-CN"/>
              </w:rPr>
              <w:t>近期</w:t>
            </w:r>
            <w:r>
              <w:rPr>
                <w:rFonts w:hint="default" w:ascii="Times New Roman" w:hAnsi="Times New Roman" w:eastAsia="华文仿宋" w:cs="Times New Roman"/>
                <w:sz w:val="24"/>
                <w:szCs w:val="24"/>
                <w:highlight w:val="none"/>
                <w:vertAlign w:val="baseline"/>
                <w:lang w:val="en-US" w:eastAsia="zh-CN"/>
              </w:rPr>
              <w:t>2024</w:t>
            </w:r>
            <w:r>
              <w:rPr>
                <w:rFonts w:hint="eastAsia" w:eastAsia="华文仿宋" w:cs="Times New Roman"/>
                <w:sz w:val="24"/>
                <w:szCs w:val="24"/>
                <w:highlight w:val="none"/>
                <w:vertAlign w:val="baseline"/>
                <w:lang w:val="en-US" w:eastAsia="zh-CN"/>
              </w:rPr>
              <w:t>—</w:t>
            </w:r>
            <w:r>
              <w:rPr>
                <w:rFonts w:hint="default" w:ascii="Times New Roman" w:hAnsi="Times New Roman" w:eastAsia="华文仿宋" w:cs="Times New Roman"/>
                <w:sz w:val="24"/>
                <w:szCs w:val="24"/>
                <w:highlight w:val="none"/>
                <w:vertAlign w:val="baseline"/>
                <w:lang w:val="en-US" w:eastAsia="zh-CN"/>
              </w:rPr>
              <w:t>2030</w:t>
            </w:r>
            <w:r>
              <w:rPr>
                <w:rFonts w:hint="eastAsia" w:ascii="仿宋_GB2312" w:hAnsi="仿宋_GB2312" w:eastAsia="仿宋_GB2312" w:cs="仿宋_GB2312"/>
                <w:sz w:val="24"/>
                <w:szCs w:val="24"/>
                <w:highlight w:val="none"/>
                <w:vertAlign w:val="baseline"/>
                <w:lang w:val="en-US" w:eastAsia="zh-CN"/>
              </w:rPr>
              <w:t>(万吨)</w:t>
            </w:r>
          </w:p>
        </w:tc>
        <w:tc>
          <w:tcPr>
            <w:tcW w:w="215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485A3BC0">
            <w:pPr>
              <w:keepNext w:val="0"/>
              <w:keepLines w:val="0"/>
              <w:pageBreakBefore w:val="0"/>
              <w:kinsoku/>
              <w:wordWrap/>
              <w:overflowPunct/>
              <w:topLinePunct w:val="0"/>
              <w:autoSpaceDE/>
              <w:autoSpaceDN/>
              <w:bidi w:val="0"/>
              <w:adjustRightInd/>
              <w:snapToGrid/>
              <w:spacing w:beforeAutospacing="0" w:afterAutospacing="0" w:line="400" w:lineRule="exact"/>
              <w:ind w:left="0" w:leftChars="0" w:firstLine="0" w:firstLineChars="0"/>
              <w:jc w:val="center"/>
              <w:rPr>
                <w:rFonts w:hint="default" w:ascii="Times New Roman" w:hAnsi="Times New Roman" w:eastAsia="华文仿宋" w:cs="Times New Roman"/>
                <w:kern w:val="2"/>
                <w:sz w:val="24"/>
                <w:szCs w:val="24"/>
                <w:highlight w:val="none"/>
                <w:vertAlign w:val="baseline"/>
                <w:lang w:val="en-US" w:eastAsia="zh-CN" w:bidi="ar-SA"/>
              </w:rPr>
            </w:pPr>
          </w:p>
        </w:tc>
        <w:tc>
          <w:tcPr>
            <w:tcW w:w="3210"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05C3FDE6">
            <w:pPr>
              <w:keepNext w:val="0"/>
              <w:keepLines w:val="0"/>
              <w:pageBreakBefore w:val="0"/>
              <w:kinsoku/>
              <w:wordWrap/>
              <w:overflowPunct/>
              <w:topLinePunct w:val="0"/>
              <w:autoSpaceDE/>
              <w:autoSpaceDN/>
              <w:bidi w:val="0"/>
              <w:adjustRightInd/>
              <w:snapToGrid/>
              <w:spacing w:beforeAutospacing="0" w:afterAutospacing="0" w:line="400" w:lineRule="exact"/>
              <w:ind w:left="0" w:leftChars="0"/>
              <w:jc w:val="center"/>
              <w:rPr>
                <w:rFonts w:hint="default" w:ascii="Times New Roman" w:hAnsi="Times New Roman" w:eastAsia="华文仿宋" w:cs="Times New Roman"/>
                <w:kern w:val="2"/>
                <w:sz w:val="24"/>
                <w:szCs w:val="24"/>
                <w:highlight w:val="none"/>
                <w:vertAlign w:val="baseline"/>
                <w:lang w:val="en-US" w:eastAsia="zh-CN" w:bidi="ar-SA"/>
              </w:rPr>
            </w:pPr>
          </w:p>
        </w:tc>
        <w:tc>
          <w:tcPr>
            <w:tcW w:w="1287" w:type="dxa"/>
            <w:tcBorders>
              <w:top w:val="nil"/>
              <w:left w:val="single" w:color="000000" w:sz="8" w:space="0"/>
              <w:bottom w:val="single" w:color="000000" w:sz="8" w:space="0"/>
              <w:right w:val="single" w:color="auto" w:sz="4" w:space="0"/>
            </w:tcBorders>
            <w:shd w:val="clear" w:color="auto" w:fill="auto"/>
            <w:tcMar>
              <w:top w:w="15" w:type="dxa"/>
              <w:left w:w="15" w:type="dxa"/>
              <w:right w:w="15" w:type="dxa"/>
            </w:tcMar>
            <w:vAlign w:val="top"/>
          </w:tcPr>
          <w:p w14:paraId="48181777">
            <w:pPr>
              <w:keepNext w:val="0"/>
              <w:keepLines w:val="0"/>
              <w:pageBreakBefore w:val="0"/>
              <w:widowControl/>
              <w:suppressLineNumbers w:val="0"/>
              <w:kinsoku/>
              <w:wordWrap/>
              <w:overflowPunct/>
              <w:topLinePunct w:val="0"/>
              <w:autoSpaceDE/>
              <w:autoSpaceDN/>
              <w:bidi w:val="0"/>
              <w:adjustRightInd/>
              <w:snapToGrid/>
              <w:spacing w:beforeAutospacing="0" w:afterAutospacing="0" w:line="400" w:lineRule="exact"/>
              <w:ind w:left="0" w:leftChars="0"/>
              <w:jc w:val="both"/>
              <w:textAlignment w:val="top"/>
              <w:rPr>
                <w:rFonts w:hint="default" w:ascii="Times New Roman" w:hAnsi="Times New Roman" w:eastAsia="华文仿宋" w:cs="Times New Roman"/>
                <w:kern w:val="2"/>
                <w:sz w:val="24"/>
                <w:szCs w:val="24"/>
                <w:highlight w:val="none"/>
                <w:vertAlign w:val="baseline"/>
                <w:lang w:val="en-US" w:eastAsia="zh-CN" w:bidi="ar-SA"/>
              </w:rPr>
            </w:pPr>
            <w:r>
              <w:rPr>
                <w:rFonts w:hint="default" w:ascii="Times New Roman" w:hAnsi="Times New Roman" w:eastAsia="华文仿宋" w:cs="Times New Roman"/>
                <w:kern w:val="2"/>
                <w:sz w:val="24"/>
                <w:szCs w:val="24"/>
                <w:highlight w:val="none"/>
                <w:vertAlign w:val="baseline"/>
                <w:lang w:val="en-US" w:eastAsia="zh-CN" w:bidi="ar-SA"/>
              </w:rPr>
              <w:t>26.8</w:t>
            </w:r>
          </w:p>
        </w:tc>
      </w:tr>
      <w:tr w14:paraId="711340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3" w:hRule="atLeast"/>
        </w:trPr>
        <w:tc>
          <w:tcPr>
            <w:tcW w:w="2510" w:type="dxa"/>
            <w:tcBorders>
              <w:top w:val="nil"/>
              <w:left w:val="single" w:color="auto" w:sz="4" w:space="0"/>
              <w:bottom w:val="single" w:color="auto" w:sz="4" w:space="0"/>
              <w:right w:val="single" w:color="000000" w:sz="8" w:space="0"/>
            </w:tcBorders>
            <w:shd w:val="clear" w:color="auto" w:fill="auto"/>
            <w:noWrap/>
            <w:tcMar>
              <w:top w:w="15" w:type="dxa"/>
              <w:left w:w="15" w:type="dxa"/>
              <w:right w:w="15" w:type="dxa"/>
            </w:tcMar>
            <w:vAlign w:val="top"/>
          </w:tcPr>
          <w:p w14:paraId="5DAC8A48">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华文仿宋" w:cs="Times New Roman"/>
                <w:sz w:val="24"/>
                <w:szCs w:val="24"/>
                <w:highlight w:val="none"/>
                <w:vertAlign w:val="baseline"/>
                <w:lang w:val="en-US" w:eastAsia="zh-CN"/>
              </w:rPr>
            </w:pPr>
            <w:r>
              <w:rPr>
                <w:rFonts w:hint="eastAsia" w:ascii="仿宋_GB2312" w:hAnsi="仿宋_GB2312" w:eastAsia="仿宋_GB2312" w:cs="仿宋_GB2312"/>
                <w:sz w:val="24"/>
                <w:szCs w:val="24"/>
                <w:highlight w:val="none"/>
                <w:vertAlign w:val="baseline"/>
                <w:lang w:val="en-US" w:eastAsia="zh-CN"/>
              </w:rPr>
              <w:t>远期</w:t>
            </w:r>
            <w:r>
              <w:rPr>
                <w:rFonts w:hint="default" w:ascii="Times New Roman" w:hAnsi="Times New Roman" w:eastAsia="华文仿宋" w:cs="Times New Roman"/>
                <w:sz w:val="24"/>
                <w:szCs w:val="24"/>
                <w:highlight w:val="none"/>
                <w:vertAlign w:val="baseline"/>
                <w:lang w:val="en-US" w:eastAsia="zh-CN"/>
              </w:rPr>
              <w:t>2031</w:t>
            </w:r>
            <w:r>
              <w:rPr>
                <w:rFonts w:hint="eastAsia" w:eastAsia="华文仿宋" w:cs="Times New Roman"/>
                <w:sz w:val="24"/>
                <w:szCs w:val="24"/>
                <w:highlight w:val="none"/>
                <w:vertAlign w:val="baseline"/>
                <w:lang w:val="en-US" w:eastAsia="zh-CN"/>
              </w:rPr>
              <w:t>—</w:t>
            </w:r>
            <w:r>
              <w:rPr>
                <w:rFonts w:hint="default" w:ascii="Times New Roman" w:hAnsi="Times New Roman" w:eastAsia="华文仿宋" w:cs="Times New Roman"/>
                <w:sz w:val="24"/>
                <w:szCs w:val="24"/>
                <w:highlight w:val="none"/>
                <w:vertAlign w:val="baseline"/>
                <w:lang w:val="en-US" w:eastAsia="zh-CN"/>
              </w:rPr>
              <w:t>2035</w:t>
            </w:r>
            <w:r>
              <w:rPr>
                <w:rFonts w:hint="eastAsia" w:ascii="仿宋_GB2312" w:hAnsi="仿宋_GB2312" w:eastAsia="仿宋_GB2312" w:cs="仿宋_GB2312"/>
                <w:sz w:val="24"/>
                <w:szCs w:val="24"/>
                <w:highlight w:val="none"/>
                <w:vertAlign w:val="baseline"/>
                <w:lang w:val="en-US" w:eastAsia="zh-CN"/>
              </w:rPr>
              <w:t>(万吨)</w:t>
            </w:r>
          </w:p>
        </w:tc>
        <w:tc>
          <w:tcPr>
            <w:tcW w:w="2153" w:type="dxa"/>
            <w:tcBorders>
              <w:top w:val="nil"/>
              <w:left w:val="single" w:color="000000" w:sz="8" w:space="0"/>
              <w:bottom w:val="single" w:color="auto" w:sz="4" w:space="0"/>
              <w:right w:val="single" w:color="000000" w:sz="8" w:space="0"/>
            </w:tcBorders>
            <w:shd w:val="clear" w:color="auto" w:fill="auto"/>
            <w:tcMar>
              <w:top w:w="15" w:type="dxa"/>
              <w:left w:w="15" w:type="dxa"/>
              <w:right w:w="15" w:type="dxa"/>
            </w:tcMar>
            <w:vAlign w:val="top"/>
          </w:tcPr>
          <w:p w14:paraId="009F121D">
            <w:pPr>
              <w:keepNext w:val="0"/>
              <w:keepLines w:val="0"/>
              <w:pageBreakBefore w:val="0"/>
              <w:kinsoku/>
              <w:wordWrap/>
              <w:overflowPunct/>
              <w:topLinePunct w:val="0"/>
              <w:autoSpaceDE/>
              <w:autoSpaceDN/>
              <w:bidi w:val="0"/>
              <w:adjustRightInd/>
              <w:snapToGrid/>
              <w:spacing w:beforeAutospacing="0" w:afterAutospacing="0" w:line="400" w:lineRule="exact"/>
              <w:ind w:left="0" w:leftChars="0" w:firstLine="0" w:firstLineChars="0"/>
              <w:jc w:val="center"/>
              <w:rPr>
                <w:rFonts w:hint="default" w:ascii="Times New Roman" w:hAnsi="Times New Roman" w:eastAsia="华文仿宋" w:cs="Times New Roman"/>
                <w:kern w:val="2"/>
                <w:sz w:val="24"/>
                <w:szCs w:val="24"/>
                <w:highlight w:val="none"/>
                <w:vertAlign w:val="baseline"/>
                <w:lang w:val="en-US" w:eastAsia="zh-CN" w:bidi="ar-SA"/>
              </w:rPr>
            </w:pPr>
          </w:p>
        </w:tc>
        <w:tc>
          <w:tcPr>
            <w:tcW w:w="3210" w:type="dxa"/>
            <w:tcBorders>
              <w:top w:val="nil"/>
              <w:left w:val="single" w:color="000000" w:sz="8" w:space="0"/>
              <w:bottom w:val="single" w:color="auto" w:sz="4" w:space="0"/>
              <w:right w:val="single" w:color="000000" w:sz="8" w:space="0"/>
            </w:tcBorders>
            <w:shd w:val="clear" w:color="auto" w:fill="auto"/>
            <w:tcMar>
              <w:top w:w="15" w:type="dxa"/>
              <w:left w:w="15" w:type="dxa"/>
              <w:right w:w="15" w:type="dxa"/>
            </w:tcMar>
            <w:vAlign w:val="top"/>
          </w:tcPr>
          <w:p w14:paraId="3151B815">
            <w:pPr>
              <w:keepNext w:val="0"/>
              <w:keepLines w:val="0"/>
              <w:pageBreakBefore w:val="0"/>
              <w:kinsoku/>
              <w:wordWrap/>
              <w:overflowPunct/>
              <w:topLinePunct w:val="0"/>
              <w:autoSpaceDE/>
              <w:autoSpaceDN/>
              <w:bidi w:val="0"/>
              <w:adjustRightInd/>
              <w:snapToGrid/>
              <w:spacing w:beforeAutospacing="0" w:afterAutospacing="0" w:line="400" w:lineRule="exact"/>
              <w:ind w:left="0" w:leftChars="0"/>
              <w:jc w:val="center"/>
              <w:rPr>
                <w:rFonts w:hint="default" w:ascii="Times New Roman" w:hAnsi="Times New Roman" w:eastAsia="华文仿宋" w:cs="Times New Roman"/>
                <w:kern w:val="2"/>
                <w:sz w:val="24"/>
                <w:szCs w:val="24"/>
                <w:highlight w:val="none"/>
                <w:vertAlign w:val="baseline"/>
                <w:lang w:val="en-US" w:eastAsia="zh-CN" w:bidi="ar-SA"/>
              </w:rPr>
            </w:pPr>
          </w:p>
        </w:tc>
        <w:tc>
          <w:tcPr>
            <w:tcW w:w="1287" w:type="dxa"/>
            <w:tcBorders>
              <w:top w:val="nil"/>
              <w:left w:val="single" w:color="000000" w:sz="8" w:space="0"/>
              <w:bottom w:val="single" w:color="auto" w:sz="4" w:space="0"/>
              <w:right w:val="single" w:color="auto" w:sz="4" w:space="0"/>
            </w:tcBorders>
            <w:shd w:val="clear" w:color="auto" w:fill="auto"/>
            <w:tcMar>
              <w:top w:w="15" w:type="dxa"/>
              <w:left w:w="15" w:type="dxa"/>
              <w:right w:w="15" w:type="dxa"/>
            </w:tcMar>
            <w:vAlign w:val="top"/>
          </w:tcPr>
          <w:p w14:paraId="4DE2CDD6">
            <w:pPr>
              <w:keepNext w:val="0"/>
              <w:keepLines w:val="0"/>
              <w:pageBreakBefore w:val="0"/>
              <w:widowControl/>
              <w:suppressLineNumbers w:val="0"/>
              <w:kinsoku/>
              <w:wordWrap/>
              <w:overflowPunct/>
              <w:topLinePunct w:val="0"/>
              <w:autoSpaceDE/>
              <w:autoSpaceDN/>
              <w:bidi w:val="0"/>
              <w:adjustRightInd/>
              <w:snapToGrid/>
              <w:spacing w:beforeAutospacing="0" w:afterAutospacing="0" w:line="400" w:lineRule="exact"/>
              <w:ind w:left="0" w:leftChars="0" w:firstLine="480" w:firstLineChars="200"/>
              <w:jc w:val="both"/>
              <w:textAlignment w:val="top"/>
              <w:rPr>
                <w:rFonts w:hint="default" w:ascii="Times New Roman" w:hAnsi="Times New Roman" w:eastAsia="华文仿宋" w:cs="Times New Roman"/>
                <w:kern w:val="2"/>
                <w:sz w:val="24"/>
                <w:szCs w:val="24"/>
                <w:highlight w:val="none"/>
                <w:vertAlign w:val="baseline"/>
                <w:lang w:val="en-US" w:eastAsia="zh-CN" w:bidi="ar-SA"/>
              </w:rPr>
            </w:pPr>
            <w:r>
              <w:rPr>
                <w:rFonts w:hint="default" w:ascii="Times New Roman" w:hAnsi="Times New Roman" w:eastAsia="华文仿宋" w:cs="Times New Roman"/>
                <w:kern w:val="2"/>
                <w:sz w:val="24"/>
                <w:szCs w:val="24"/>
                <w:highlight w:val="none"/>
                <w:vertAlign w:val="baseline"/>
                <w:lang w:val="en-US" w:eastAsia="zh-CN" w:bidi="ar-SA"/>
              </w:rPr>
              <w:t>14.0</w:t>
            </w:r>
          </w:p>
        </w:tc>
      </w:tr>
    </w:tbl>
    <w:p w14:paraId="4148D92D">
      <w:pPr>
        <w:pageBreakBefore w:val="0"/>
        <w:kinsoku/>
        <w:wordWrap/>
        <w:topLinePunct w:val="0"/>
        <w:bidi w:val="0"/>
        <w:spacing w:beforeAutospacing="0" w:afterAutospacing="0" w:line="560" w:lineRule="exact"/>
        <w:ind w:left="0" w:leftChars="0" w:firstLine="482"/>
        <w:jc w:val="center"/>
        <w:rPr>
          <w:rFonts w:hint="eastAsia"/>
          <w:bCs/>
          <w:szCs w:val="32"/>
          <w:highlight w:val="none"/>
          <w:lang w:eastAsia="zh-CN"/>
        </w:rPr>
      </w:pPr>
    </w:p>
    <w:p w14:paraId="5FD2AA15">
      <w:pPr>
        <w:pageBreakBefore w:val="0"/>
        <w:kinsoku/>
        <w:wordWrap/>
        <w:topLinePunct w:val="0"/>
        <w:bidi w:val="0"/>
        <w:spacing w:beforeAutospacing="0" w:afterAutospacing="0" w:line="560" w:lineRule="exact"/>
        <w:ind w:left="0" w:leftChars="0" w:firstLine="640" w:firstLineChars="200"/>
        <w:rPr>
          <w:rFonts w:hint="default" w:ascii="Times New Roman" w:hAnsi="Times New Roman" w:eastAsia="仿宋_GB2312" w:cs="Times New Roman"/>
          <w:b/>
          <w:bCs/>
          <w:color w:val="auto"/>
          <w:sz w:val="32"/>
          <w:szCs w:val="32"/>
          <w:highlight w:val="none"/>
          <w:u w:val="none"/>
          <w:lang w:val="en-US" w:eastAsia="zh-CN"/>
        </w:rPr>
      </w:pPr>
      <w:r>
        <w:rPr>
          <w:rFonts w:hint="default" w:ascii="Times New Roman" w:hAnsi="Times New Roman" w:eastAsia="仿宋_GB2312" w:cs="Times New Roman"/>
          <w:b w:val="0"/>
          <w:bCs w:val="0"/>
          <w:color w:val="auto"/>
          <w:sz w:val="32"/>
          <w:szCs w:val="32"/>
          <w:highlight w:val="none"/>
          <w:u w:val="none"/>
          <w:lang w:val="en-US" w:eastAsia="zh-CN"/>
        </w:rPr>
        <w:t>5．装修垃圾预测</w:t>
      </w:r>
    </w:p>
    <w:p w14:paraId="7BE5AE23">
      <w:pPr>
        <w:pageBreakBefore w:val="0"/>
        <w:kinsoku/>
        <w:wordWrap/>
        <w:topLinePunct w:val="0"/>
        <w:bidi w:val="0"/>
        <w:spacing w:beforeAutospacing="0" w:afterAutospacing="0" w:line="560" w:lineRule="exact"/>
        <w:ind w:left="0" w:leftChars="0" w:firstLine="640" w:firstLineChars="200"/>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（1）装修垃圾</w:t>
      </w:r>
      <w:r>
        <w:rPr>
          <w:rFonts w:hint="eastAsia" w:ascii="Times New Roman" w:hAnsi="Times New Roman" w:eastAsia="仿宋_GB2312" w:cs="Times New Roman"/>
          <w:color w:val="auto"/>
          <w:sz w:val="32"/>
          <w:szCs w:val="32"/>
          <w:highlight w:val="none"/>
          <w:u w:val="none"/>
          <w:lang w:val="en-US" w:eastAsia="zh-CN"/>
        </w:rPr>
        <w:t>的预测方法</w:t>
      </w:r>
      <w:r>
        <w:rPr>
          <w:rFonts w:hint="default" w:ascii="Times New Roman" w:hAnsi="Times New Roman" w:eastAsia="仿宋_GB2312" w:cs="Times New Roman"/>
          <w:color w:val="auto"/>
          <w:sz w:val="32"/>
          <w:szCs w:val="32"/>
          <w:highlight w:val="none"/>
          <w:u w:val="none"/>
        </w:rPr>
        <w:t>：</w:t>
      </w:r>
    </w:p>
    <w:p w14:paraId="743429B0">
      <w:pPr>
        <w:pageBreakBefore w:val="0"/>
        <w:kinsoku/>
        <w:wordWrap/>
        <w:topLinePunct w:val="0"/>
        <w:bidi w:val="0"/>
        <w:spacing w:beforeAutospacing="0" w:afterAutospacing="0" w:line="560" w:lineRule="exact"/>
        <w:ind w:left="0" w:leftChars="0" w:firstLine="640" w:firstLineChars="200"/>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M</w:t>
      </w:r>
      <w:r>
        <w:rPr>
          <w:rFonts w:hint="default" w:ascii="Times New Roman" w:hAnsi="Times New Roman" w:eastAsia="仿宋_GB2312" w:cs="Times New Roman"/>
          <w:color w:val="auto"/>
          <w:sz w:val="32"/>
          <w:szCs w:val="32"/>
          <w:highlight w:val="none"/>
          <w:u w:val="none"/>
          <w:vertAlign w:val="subscript"/>
        </w:rPr>
        <w:t>z</w:t>
      </w:r>
      <w:r>
        <w:rPr>
          <w:rFonts w:hint="default" w:ascii="Times New Roman" w:hAnsi="Times New Roman" w:eastAsia="仿宋_GB2312" w:cs="Times New Roman"/>
          <w:color w:val="auto"/>
          <w:sz w:val="32"/>
          <w:szCs w:val="32"/>
          <w:highlight w:val="none"/>
          <w:u w:val="none"/>
        </w:rPr>
        <w:t>=R</w:t>
      </w:r>
      <w:r>
        <w:rPr>
          <w:rFonts w:hint="default" w:ascii="Times New Roman" w:hAnsi="Times New Roman" w:eastAsia="仿宋_GB2312" w:cs="Times New Roman"/>
          <w:color w:val="auto"/>
          <w:sz w:val="32"/>
          <w:szCs w:val="32"/>
          <w:highlight w:val="none"/>
          <w:u w:val="none"/>
          <w:vertAlign w:val="subscript"/>
        </w:rPr>
        <w:t>z</w:t>
      </w:r>
      <w:r>
        <w:rPr>
          <w:rFonts w:hint="default" w:ascii="Times New Roman" w:hAnsi="Times New Roman" w:eastAsia="仿宋_GB2312" w:cs="Times New Roman"/>
          <w:color w:val="auto"/>
          <w:sz w:val="32"/>
          <w:szCs w:val="32"/>
          <w:highlight w:val="none"/>
          <w:u w:val="none"/>
        </w:rPr>
        <w:t>×m</w:t>
      </w:r>
      <w:r>
        <w:rPr>
          <w:rFonts w:hint="default" w:ascii="Times New Roman" w:hAnsi="Times New Roman" w:eastAsia="仿宋_GB2312" w:cs="Times New Roman"/>
          <w:color w:val="auto"/>
          <w:sz w:val="32"/>
          <w:szCs w:val="32"/>
          <w:highlight w:val="none"/>
          <w:u w:val="none"/>
          <w:vertAlign w:val="subscript"/>
        </w:rPr>
        <w:t>z</w:t>
      </w:r>
    </w:p>
    <w:p w14:paraId="10466E95">
      <w:pPr>
        <w:pageBreakBefore w:val="0"/>
        <w:kinsoku/>
        <w:wordWrap/>
        <w:topLinePunct w:val="0"/>
        <w:bidi w:val="0"/>
        <w:spacing w:beforeAutospacing="0" w:afterAutospacing="0" w:line="560" w:lineRule="exact"/>
        <w:ind w:left="0" w:leftChars="0" w:firstLine="640" w:firstLineChars="200"/>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式中：</w:t>
      </w:r>
    </w:p>
    <w:p w14:paraId="03843D31">
      <w:pPr>
        <w:pageBreakBefore w:val="0"/>
        <w:kinsoku/>
        <w:wordWrap/>
        <w:topLinePunct w:val="0"/>
        <w:bidi w:val="0"/>
        <w:spacing w:beforeAutospacing="0" w:afterAutospacing="0" w:line="560" w:lineRule="exact"/>
        <w:ind w:left="0" w:leftChars="0" w:firstLine="640" w:firstLineChars="200"/>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M</w:t>
      </w:r>
      <w:r>
        <w:rPr>
          <w:rFonts w:hint="default" w:ascii="Times New Roman" w:hAnsi="Times New Roman" w:eastAsia="仿宋_GB2312" w:cs="Times New Roman"/>
          <w:color w:val="auto"/>
          <w:sz w:val="32"/>
          <w:szCs w:val="32"/>
          <w:highlight w:val="none"/>
          <w:u w:val="none"/>
          <w:vertAlign w:val="subscript"/>
        </w:rPr>
        <w:t>z</w:t>
      </w:r>
      <w:r>
        <w:rPr>
          <w:rFonts w:hint="eastAsia"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rPr>
        <w:t>城市或区域装修垃圾产生量；</w:t>
      </w:r>
    </w:p>
    <w:p w14:paraId="3601775A">
      <w:pPr>
        <w:pageBreakBefore w:val="0"/>
        <w:kinsoku/>
        <w:wordWrap/>
        <w:topLinePunct w:val="0"/>
        <w:bidi w:val="0"/>
        <w:spacing w:beforeAutospacing="0" w:afterAutospacing="0" w:line="560" w:lineRule="exact"/>
        <w:ind w:left="0" w:leftChars="0" w:firstLine="640" w:firstLineChars="200"/>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R</w:t>
      </w:r>
      <w:r>
        <w:rPr>
          <w:rFonts w:hint="default" w:ascii="Times New Roman" w:hAnsi="Times New Roman" w:eastAsia="仿宋_GB2312" w:cs="Times New Roman"/>
          <w:color w:val="auto"/>
          <w:sz w:val="32"/>
          <w:szCs w:val="32"/>
          <w:highlight w:val="none"/>
          <w:u w:val="none"/>
          <w:vertAlign w:val="subscript"/>
        </w:rPr>
        <w:t>z</w:t>
      </w:r>
      <w:r>
        <w:rPr>
          <w:rFonts w:hint="eastAsia"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rPr>
        <w:t>城市或区域居民户数（户）；</w:t>
      </w:r>
    </w:p>
    <w:p w14:paraId="5162B7FC">
      <w:pPr>
        <w:pageBreakBefore w:val="0"/>
        <w:kinsoku/>
        <w:wordWrap/>
        <w:topLinePunct w:val="0"/>
        <w:bidi w:val="0"/>
        <w:spacing w:beforeAutospacing="0" w:afterAutospacing="0" w:line="560" w:lineRule="exact"/>
        <w:ind w:left="0" w:leftChars="0" w:firstLine="640" w:firstLineChars="200"/>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m</w:t>
      </w:r>
      <w:r>
        <w:rPr>
          <w:rFonts w:hint="default" w:ascii="Times New Roman" w:hAnsi="Times New Roman" w:eastAsia="仿宋_GB2312" w:cs="Times New Roman"/>
          <w:color w:val="auto"/>
          <w:sz w:val="32"/>
          <w:szCs w:val="32"/>
          <w:highlight w:val="none"/>
          <w:u w:val="none"/>
          <w:vertAlign w:val="subscript"/>
        </w:rPr>
        <w:t>z</w:t>
      </w:r>
      <w:r>
        <w:rPr>
          <w:rFonts w:hint="eastAsia"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rPr>
        <w:t>单位户数装修垃圾产生基数</w:t>
      </w:r>
      <w:r>
        <w:rPr>
          <w:rFonts w:hint="default" w:ascii="Times New Roman" w:hAnsi="Times New Roman" w:eastAsia="仿宋_GB2312" w:cs="Times New Roman"/>
          <w:color w:val="auto"/>
          <w:sz w:val="32"/>
          <w:szCs w:val="32"/>
          <w:highlight w:val="none"/>
          <w:u w:val="none"/>
          <w:lang w:eastAsia="zh-CN"/>
        </w:rPr>
        <w:t>吨</w:t>
      </w:r>
      <w:r>
        <w:rPr>
          <w:rFonts w:hint="default" w:ascii="Times New Roman" w:hAnsi="Times New Roman" w:eastAsia="仿宋_GB2312" w:cs="Times New Roman"/>
          <w:color w:val="auto"/>
          <w:sz w:val="32"/>
          <w:szCs w:val="32"/>
          <w:highlight w:val="none"/>
          <w:u w:val="none"/>
        </w:rPr>
        <w:t>/（户·</w:t>
      </w:r>
      <w:r>
        <w:rPr>
          <w:rFonts w:hint="default" w:ascii="Times New Roman" w:hAnsi="Times New Roman" w:eastAsia="仿宋_GB2312" w:cs="Times New Roman"/>
          <w:color w:val="auto"/>
          <w:sz w:val="32"/>
          <w:szCs w:val="32"/>
          <w:highlight w:val="none"/>
          <w:u w:val="none"/>
          <w:lang w:eastAsia="zh-CN"/>
        </w:rPr>
        <w:t>年</w:t>
      </w:r>
      <w:r>
        <w:rPr>
          <w:rFonts w:hint="default" w:ascii="Times New Roman" w:hAnsi="Times New Roman" w:eastAsia="仿宋_GB2312" w:cs="Times New Roman"/>
          <w:color w:val="auto"/>
          <w:sz w:val="32"/>
          <w:szCs w:val="32"/>
          <w:highlight w:val="none"/>
          <w:u w:val="none"/>
        </w:rPr>
        <w:t>），可取0.5</w:t>
      </w:r>
      <w:r>
        <w:rPr>
          <w:rFonts w:hint="eastAsia"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rPr>
        <w:t>1.0</w:t>
      </w:r>
      <w:r>
        <w:rPr>
          <w:rFonts w:hint="default" w:ascii="Times New Roman" w:hAnsi="Times New Roman" w:eastAsia="仿宋_GB2312" w:cs="Times New Roman"/>
          <w:color w:val="auto"/>
          <w:sz w:val="32"/>
          <w:szCs w:val="32"/>
          <w:highlight w:val="none"/>
          <w:u w:val="none"/>
          <w:lang w:eastAsia="zh-CN"/>
        </w:rPr>
        <w:t>吨</w:t>
      </w:r>
      <w:r>
        <w:rPr>
          <w:rFonts w:hint="default" w:ascii="Times New Roman" w:hAnsi="Times New Roman" w:eastAsia="仿宋_GB2312" w:cs="Times New Roman"/>
          <w:color w:val="auto"/>
          <w:sz w:val="32"/>
          <w:szCs w:val="32"/>
          <w:highlight w:val="none"/>
          <w:u w:val="none"/>
        </w:rPr>
        <w:t>/（户·</w:t>
      </w:r>
      <w:r>
        <w:rPr>
          <w:rFonts w:hint="default" w:ascii="Times New Roman" w:hAnsi="Times New Roman" w:eastAsia="仿宋_GB2312" w:cs="Times New Roman"/>
          <w:color w:val="auto"/>
          <w:sz w:val="32"/>
          <w:szCs w:val="32"/>
          <w:highlight w:val="none"/>
          <w:u w:val="none"/>
          <w:lang w:eastAsia="zh-CN"/>
        </w:rPr>
        <w:t>年</w:t>
      </w:r>
      <w:r>
        <w:rPr>
          <w:rFonts w:hint="default" w:ascii="Times New Roman" w:hAnsi="Times New Roman" w:eastAsia="仿宋_GB2312" w:cs="Times New Roman"/>
          <w:color w:val="auto"/>
          <w:sz w:val="32"/>
          <w:szCs w:val="32"/>
          <w:highlight w:val="none"/>
          <w:u w:val="none"/>
        </w:rPr>
        <w:t>）。</w:t>
      </w:r>
    </w:p>
    <w:p w14:paraId="006AE1A9">
      <w:pPr>
        <w:pageBreakBefore w:val="0"/>
        <w:numPr>
          <w:ilvl w:val="0"/>
          <w:numId w:val="0"/>
        </w:numPr>
        <w:kinsoku/>
        <w:wordWrap/>
        <w:topLinePunct w:val="0"/>
        <w:bidi w:val="0"/>
        <w:spacing w:beforeAutospacing="0" w:afterAutospacing="0" w:line="560" w:lineRule="exact"/>
        <w:ind w:left="0" w:leftChars="0" w:firstLine="640" w:firstLineChars="200"/>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rPr>
        <w:t>（2）根据《建筑垃圾处理技术标准》（CJJ/T134-2019）中拆除垃圾产生量的计算方法，根据</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lang w:val="en-US" w:eastAsia="zh-CN"/>
        </w:rPr>
        <w:t>融安县国土空间规划</w:t>
      </w:r>
      <w:r>
        <w:rPr>
          <w:rFonts w:hint="default" w:ascii="Times New Roman" w:hAnsi="Times New Roman" w:eastAsia="仿宋_GB2312" w:cs="Times New Roman"/>
          <w:sz w:val="32"/>
          <w:szCs w:val="32"/>
          <w:highlight w:val="none"/>
          <w:lang w:eastAsia="zh-CN"/>
        </w:rPr>
        <w:t>》：预测至2025年，城镇化率为54%，城镇人口为14万人；至2035年城镇化率为66%，城镇人口为20万人。</w:t>
      </w:r>
      <w:r>
        <w:rPr>
          <w:rFonts w:hint="default" w:ascii="Times New Roman" w:hAnsi="Times New Roman" w:eastAsia="仿宋_GB2312" w:cs="Times New Roman"/>
          <w:sz w:val="32"/>
          <w:szCs w:val="32"/>
          <w:highlight w:val="none"/>
          <w:lang w:val="en-US" w:eastAsia="zh-CN"/>
        </w:rPr>
        <w:t>根据广西统计年鉴，融安县平均每户人口约为3.5人，则融安县2030年居民户数约为4.78万户，2035年居民户数约为5.71万户。2035</w:t>
      </w:r>
      <w:r>
        <w:rPr>
          <w:rFonts w:hint="eastAsia" w:ascii="Times New Roman" w:hAnsi="Times New Roman" w:eastAsia="仿宋_GB2312" w:cs="Times New Roman"/>
          <w:sz w:val="32"/>
          <w:szCs w:val="32"/>
          <w:highlight w:val="none"/>
          <w:lang w:val="en-US" w:eastAsia="zh-CN"/>
        </w:rPr>
        <w:t>年</w:t>
      </w:r>
      <w:r>
        <w:rPr>
          <w:rFonts w:hint="default" w:ascii="Times New Roman" w:hAnsi="Times New Roman" w:eastAsia="仿宋_GB2312" w:cs="Times New Roman"/>
          <w:sz w:val="32"/>
          <w:szCs w:val="32"/>
          <w:highlight w:val="none"/>
        </w:rPr>
        <w:t>单位户数的装修垃圾产生量基数取</w:t>
      </w:r>
      <w:r>
        <w:rPr>
          <w:rFonts w:hint="default" w:ascii="Times New Roman" w:hAnsi="Times New Roman" w:eastAsia="仿宋_GB2312" w:cs="Times New Roman"/>
          <w:sz w:val="32"/>
          <w:szCs w:val="32"/>
          <w:highlight w:val="none"/>
          <w:lang w:val="en-US" w:eastAsia="zh-CN"/>
        </w:rPr>
        <w:t>0.75</w:t>
      </w:r>
      <w:r>
        <w:rPr>
          <w:rFonts w:hint="default" w:ascii="Times New Roman" w:hAnsi="Times New Roman" w:eastAsia="仿宋_GB2312" w:cs="Times New Roman"/>
          <w:sz w:val="32"/>
          <w:szCs w:val="32"/>
          <w:highlight w:val="none"/>
        </w:rPr>
        <w:t>t/（户·</w:t>
      </w:r>
      <w:r>
        <w:rPr>
          <w:rFonts w:hint="eastAsia" w:ascii="Times New Roman" w:hAnsi="Times New Roman" w:eastAsia="仿宋_GB2312" w:cs="Times New Roman"/>
          <w:sz w:val="32"/>
          <w:szCs w:val="32"/>
          <w:highlight w:val="none"/>
          <w:lang w:val="en-US" w:eastAsia="zh-CN"/>
        </w:rPr>
        <w:t>年</w:t>
      </w:r>
      <w:r>
        <w:rPr>
          <w:rFonts w:hint="default" w:ascii="Times New Roman" w:hAnsi="Times New Roman" w:eastAsia="仿宋_GB2312" w:cs="Times New Roman"/>
          <w:sz w:val="32"/>
          <w:szCs w:val="32"/>
          <w:highlight w:val="none"/>
        </w:rPr>
        <w:t>）。</w:t>
      </w:r>
      <w:r>
        <w:rPr>
          <w:rFonts w:hint="default" w:ascii="Times New Roman" w:hAnsi="Times New Roman" w:eastAsia="仿宋_GB2312" w:cs="Times New Roman"/>
          <w:sz w:val="32"/>
          <w:szCs w:val="32"/>
          <w:highlight w:val="none"/>
          <w:lang w:val="en-US" w:eastAsia="zh-CN"/>
        </w:rPr>
        <w:t>预测近期2024</w:t>
      </w:r>
      <w:r>
        <w:rPr>
          <w:rFonts w:hint="eastAsia" w:eastAsia="仿宋_GB2312" w:cs="Times New Roman"/>
          <w:color w:val="auto"/>
          <w:sz w:val="32"/>
          <w:szCs w:val="32"/>
          <w:highlight w:val="none"/>
          <w:u w:val="none"/>
          <w:lang w:eastAsia="zh-CN"/>
        </w:rPr>
        <w:t>—</w:t>
      </w:r>
      <w:r>
        <w:rPr>
          <w:rFonts w:hint="default" w:ascii="Times New Roman" w:hAnsi="Times New Roman" w:eastAsia="仿宋_GB2312" w:cs="Times New Roman"/>
          <w:sz w:val="32"/>
          <w:szCs w:val="32"/>
          <w:highlight w:val="none"/>
          <w:lang w:val="en-US" w:eastAsia="zh-CN"/>
        </w:rPr>
        <w:t>2030年</w:t>
      </w:r>
      <w:r>
        <w:rPr>
          <w:rFonts w:hint="default" w:ascii="Times New Roman" w:hAnsi="Times New Roman" w:eastAsia="仿宋_GB2312" w:cs="Times New Roman"/>
          <w:sz w:val="32"/>
          <w:szCs w:val="32"/>
          <w:highlight w:val="none"/>
        </w:rPr>
        <w:t>装修垃圾</w:t>
      </w:r>
      <w:r>
        <w:rPr>
          <w:rFonts w:hint="default" w:ascii="Times New Roman" w:hAnsi="Times New Roman" w:eastAsia="仿宋_GB2312" w:cs="Times New Roman"/>
          <w:sz w:val="32"/>
          <w:szCs w:val="32"/>
          <w:highlight w:val="none"/>
          <w:lang w:val="en-US" w:eastAsia="zh-CN"/>
        </w:rPr>
        <w:t>产生量约为22.6万吨，预测远期2031</w:t>
      </w:r>
      <w:r>
        <w:rPr>
          <w:rFonts w:hint="eastAsia" w:eastAsia="仿宋_GB2312" w:cs="Times New Roman"/>
          <w:color w:val="auto"/>
          <w:sz w:val="32"/>
          <w:szCs w:val="32"/>
          <w:highlight w:val="none"/>
          <w:u w:val="none"/>
          <w:lang w:eastAsia="zh-CN"/>
        </w:rPr>
        <w:t>—</w:t>
      </w:r>
      <w:r>
        <w:rPr>
          <w:rFonts w:hint="default" w:ascii="Times New Roman" w:hAnsi="Times New Roman" w:eastAsia="仿宋_GB2312" w:cs="Times New Roman"/>
          <w:sz w:val="32"/>
          <w:szCs w:val="32"/>
          <w:highlight w:val="none"/>
          <w:lang w:val="en-US" w:eastAsia="zh-CN"/>
        </w:rPr>
        <w:t>2035年</w:t>
      </w:r>
      <w:r>
        <w:rPr>
          <w:rFonts w:hint="default" w:ascii="Times New Roman" w:hAnsi="Times New Roman" w:eastAsia="仿宋_GB2312" w:cs="Times New Roman"/>
          <w:sz w:val="32"/>
          <w:szCs w:val="32"/>
          <w:highlight w:val="none"/>
        </w:rPr>
        <w:t>装修垃圾</w:t>
      </w:r>
      <w:r>
        <w:rPr>
          <w:rFonts w:hint="default" w:ascii="Times New Roman" w:hAnsi="Times New Roman" w:eastAsia="仿宋_GB2312" w:cs="Times New Roman"/>
          <w:sz w:val="32"/>
          <w:szCs w:val="32"/>
          <w:highlight w:val="none"/>
          <w:lang w:val="en-US" w:eastAsia="zh-CN"/>
        </w:rPr>
        <w:t>产生量约20.0万吨。</w:t>
      </w:r>
    </w:p>
    <w:p w14:paraId="358C80C0">
      <w:pPr>
        <w:pageBreakBefore w:val="0"/>
        <w:kinsoku/>
        <w:wordWrap/>
        <w:topLinePunct w:val="0"/>
        <w:bidi w:val="0"/>
        <w:spacing w:beforeAutospacing="0" w:afterAutospacing="0" w:line="560" w:lineRule="exact"/>
        <w:ind w:left="0" w:leftChars="0" w:firstLine="0" w:firstLineChars="0"/>
        <w:jc w:val="center"/>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bCs/>
          <w:sz w:val="32"/>
          <w:szCs w:val="32"/>
          <w:highlight w:val="none"/>
          <w:lang w:eastAsia="zh-CN"/>
        </w:rPr>
        <w:t>表：</w:t>
      </w:r>
      <w:r>
        <w:rPr>
          <w:rFonts w:hint="default" w:ascii="Times New Roman" w:hAnsi="Times New Roman" w:eastAsia="仿宋_GB2312" w:cs="Times New Roman"/>
          <w:bCs/>
          <w:color w:val="auto"/>
          <w:sz w:val="32"/>
          <w:szCs w:val="32"/>
          <w:highlight w:val="none"/>
          <w:u w:val="none"/>
          <w:lang w:val="en-US" w:eastAsia="zh-CN"/>
        </w:rPr>
        <w:t>融安县</w:t>
      </w:r>
      <w:r>
        <w:rPr>
          <w:rFonts w:hint="default" w:ascii="Times New Roman" w:hAnsi="Times New Roman" w:eastAsia="仿宋_GB2312" w:cs="Times New Roman"/>
          <w:sz w:val="32"/>
          <w:szCs w:val="32"/>
          <w:highlight w:val="none"/>
          <w:lang w:val="en-US" w:eastAsia="zh-CN"/>
        </w:rPr>
        <w:t>城区</w:t>
      </w:r>
      <w:r>
        <w:rPr>
          <w:rFonts w:hint="default" w:ascii="Times New Roman" w:hAnsi="Times New Roman" w:eastAsia="仿宋_GB2312" w:cs="Times New Roman"/>
          <w:bCs/>
          <w:sz w:val="32"/>
          <w:szCs w:val="32"/>
          <w:highlight w:val="none"/>
          <w:lang w:eastAsia="zh-CN"/>
        </w:rPr>
        <w:t>装修垃圾预测量</w:t>
      </w:r>
    </w:p>
    <w:tbl>
      <w:tblPr>
        <w:tblStyle w:val="16"/>
        <w:tblW w:w="927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2621"/>
        <w:gridCol w:w="2869"/>
        <w:gridCol w:w="3780"/>
      </w:tblGrid>
      <w:tr w14:paraId="53E038C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90" w:hRule="atLeast"/>
        </w:trPr>
        <w:tc>
          <w:tcPr>
            <w:tcW w:w="2621" w:type="dxa"/>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29AE750B">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leftChars="0" w:firstLine="0" w:firstLineChars="0"/>
              <w:jc w:val="center"/>
              <w:textAlignment w:val="auto"/>
              <w:rPr>
                <w:rFonts w:hint="eastAsia" w:ascii="黑体" w:hAnsi="黑体" w:eastAsia="黑体" w:cs="黑体"/>
                <w:sz w:val="24"/>
                <w:szCs w:val="24"/>
                <w:highlight w:val="none"/>
                <w:vertAlign w:val="baseline"/>
                <w:lang w:val="en-US" w:eastAsia="zh-CN"/>
              </w:rPr>
            </w:pPr>
            <w:r>
              <w:rPr>
                <w:rFonts w:hint="eastAsia" w:ascii="黑体" w:hAnsi="黑体" w:eastAsia="黑体" w:cs="黑体"/>
                <w:sz w:val="24"/>
                <w:szCs w:val="24"/>
                <w:highlight w:val="none"/>
                <w:vertAlign w:val="baseline"/>
                <w:lang w:val="en-US" w:eastAsia="zh-CN"/>
              </w:rPr>
              <w:t>年份</w:t>
            </w:r>
          </w:p>
        </w:tc>
        <w:tc>
          <w:tcPr>
            <w:tcW w:w="2869" w:type="dxa"/>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53658AD6">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leftChars="0" w:firstLine="0" w:firstLineChars="0"/>
              <w:jc w:val="center"/>
              <w:textAlignment w:val="auto"/>
              <w:rPr>
                <w:rFonts w:hint="eastAsia" w:ascii="黑体" w:hAnsi="黑体" w:eastAsia="黑体" w:cs="黑体"/>
                <w:sz w:val="24"/>
                <w:szCs w:val="24"/>
                <w:highlight w:val="none"/>
                <w:vertAlign w:val="baseline"/>
                <w:lang w:val="en-US" w:eastAsia="zh-CN"/>
              </w:rPr>
            </w:pPr>
            <w:r>
              <w:rPr>
                <w:rFonts w:hint="eastAsia" w:ascii="黑体" w:hAnsi="黑体" w:eastAsia="黑体" w:cs="黑体"/>
                <w:sz w:val="24"/>
                <w:szCs w:val="24"/>
                <w:highlight w:val="none"/>
                <w:vertAlign w:val="baseline"/>
                <w:lang w:val="en-US" w:eastAsia="zh-CN"/>
              </w:rPr>
              <w:t>居民户数/万户</w:t>
            </w:r>
          </w:p>
        </w:tc>
        <w:tc>
          <w:tcPr>
            <w:tcW w:w="3780" w:type="dxa"/>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31998C15">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leftChars="0" w:firstLine="0" w:firstLineChars="0"/>
              <w:jc w:val="center"/>
              <w:textAlignment w:val="auto"/>
              <w:rPr>
                <w:rFonts w:hint="eastAsia" w:ascii="黑体" w:hAnsi="黑体" w:eastAsia="黑体" w:cs="黑体"/>
                <w:sz w:val="24"/>
                <w:szCs w:val="24"/>
                <w:highlight w:val="none"/>
                <w:vertAlign w:val="baseline"/>
                <w:lang w:val="en-US" w:eastAsia="zh-CN"/>
              </w:rPr>
            </w:pPr>
            <w:r>
              <w:rPr>
                <w:rFonts w:hint="eastAsia" w:ascii="黑体" w:hAnsi="黑体" w:eastAsia="黑体" w:cs="黑体"/>
                <w:sz w:val="24"/>
                <w:szCs w:val="24"/>
                <w:highlight w:val="none"/>
                <w:vertAlign w:val="baseline"/>
                <w:lang w:val="en-US" w:eastAsia="zh-CN"/>
              </w:rPr>
              <w:t>装修垃圾（万吨/年）</w:t>
            </w:r>
          </w:p>
        </w:tc>
      </w:tr>
      <w:tr w14:paraId="7AC4DA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trPr>
        <w:tc>
          <w:tcPr>
            <w:tcW w:w="2621"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72DC6864">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2024</w:t>
            </w:r>
          </w:p>
        </w:tc>
        <w:tc>
          <w:tcPr>
            <w:tcW w:w="2869"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444C754E">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 xml:space="preserve">3.86 </w:t>
            </w:r>
          </w:p>
        </w:tc>
        <w:tc>
          <w:tcPr>
            <w:tcW w:w="3780"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65BFF59E">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 xml:space="preserve">2.9 </w:t>
            </w:r>
          </w:p>
        </w:tc>
      </w:tr>
      <w:tr w14:paraId="20D136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trPr>
        <w:tc>
          <w:tcPr>
            <w:tcW w:w="2621"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0D6B51C8">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2025</w:t>
            </w:r>
          </w:p>
        </w:tc>
        <w:tc>
          <w:tcPr>
            <w:tcW w:w="2869"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2C6CCD40">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 xml:space="preserve">4.00 </w:t>
            </w:r>
          </w:p>
        </w:tc>
        <w:tc>
          <w:tcPr>
            <w:tcW w:w="3780"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5292BA19">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 xml:space="preserve">3.0 </w:t>
            </w:r>
          </w:p>
        </w:tc>
      </w:tr>
      <w:tr w14:paraId="20787D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trPr>
        <w:tc>
          <w:tcPr>
            <w:tcW w:w="2621"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4838BCDF">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2026</w:t>
            </w:r>
          </w:p>
        </w:tc>
        <w:tc>
          <w:tcPr>
            <w:tcW w:w="2869"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73C08436">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 xml:space="preserve">4.15 </w:t>
            </w:r>
          </w:p>
        </w:tc>
        <w:tc>
          <w:tcPr>
            <w:tcW w:w="3780"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77266446">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 xml:space="preserve">3.1 </w:t>
            </w:r>
          </w:p>
        </w:tc>
      </w:tr>
      <w:tr w14:paraId="6453A9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trPr>
        <w:tc>
          <w:tcPr>
            <w:tcW w:w="2621"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78089884">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2027</w:t>
            </w:r>
          </w:p>
        </w:tc>
        <w:tc>
          <w:tcPr>
            <w:tcW w:w="2869"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2CC9B89E">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 xml:space="preserve">4.30 </w:t>
            </w:r>
          </w:p>
        </w:tc>
        <w:tc>
          <w:tcPr>
            <w:tcW w:w="3780"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445AEA70">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 xml:space="preserve">3.2 </w:t>
            </w:r>
          </w:p>
        </w:tc>
      </w:tr>
      <w:tr w14:paraId="309D46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trPr>
        <w:tc>
          <w:tcPr>
            <w:tcW w:w="2621"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09D448D1">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2028</w:t>
            </w:r>
          </w:p>
        </w:tc>
        <w:tc>
          <w:tcPr>
            <w:tcW w:w="2869"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17E08D39">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 xml:space="preserve">4.45 </w:t>
            </w:r>
          </w:p>
        </w:tc>
        <w:tc>
          <w:tcPr>
            <w:tcW w:w="3780"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009D58B3">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 xml:space="preserve">3.3 </w:t>
            </w:r>
          </w:p>
        </w:tc>
      </w:tr>
      <w:tr w14:paraId="05023F1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00" w:hRule="atLeast"/>
        </w:trPr>
        <w:tc>
          <w:tcPr>
            <w:tcW w:w="2621"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589CA218">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2029</w:t>
            </w:r>
          </w:p>
        </w:tc>
        <w:tc>
          <w:tcPr>
            <w:tcW w:w="2869"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07C69473">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 xml:space="preserve">4.61 </w:t>
            </w:r>
          </w:p>
        </w:tc>
        <w:tc>
          <w:tcPr>
            <w:tcW w:w="3780"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65CFA01F">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 xml:space="preserve">3.5 </w:t>
            </w:r>
          </w:p>
        </w:tc>
      </w:tr>
      <w:tr w14:paraId="111A4F8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00" w:hRule="atLeast"/>
        </w:trPr>
        <w:tc>
          <w:tcPr>
            <w:tcW w:w="2621"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2376B7F9">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2030</w:t>
            </w:r>
          </w:p>
        </w:tc>
        <w:tc>
          <w:tcPr>
            <w:tcW w:w="2869"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4245CD8C">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 xml:space="preserve">4.78 </w:t>
            </w:r>
          </w:p>
        </w:tc>
        <w:tc>
          <w:tcPr>
            <w:tcW w:w="3780"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3DA56753">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 xml:space="preserve">3.6 </w:t>
            </w:r>
          </w:p>
        </w:tc>
      </w:tr>
      <w:tr w14:paraId="24C57E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trPr>
        <w:tc>
          <w:tcPr>
            <w:tcW w:w="2621"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3A7F18CB">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2031</w:t>
            </w:r>
          </w:p>
        </w:tc>
        <w:tc>
          <w:tcPr>
            <w:tcW w:w="2869"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2CE82651">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 xml:space="preserve">4.95 </w:t>
            </w:r>
          </w:p>
        </w:tc>
        <w:tc>
          <w:tcPr>
            <w:tcW w:w="3780"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4F7536DA">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 xml:space="preserve">3.7 </w:t>
            </w:r>
          </w:p>
        </w:tc>
      </w:tr>
      <w:tr w14:paraId="19F910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trPr>
        <w:tc>
          <w:tcPr>
            <w:tcW w:w="2621"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06646DE4">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2032</w:t>
            </w:r>
          </w:p>
        </w:tc>
        <w:tc>
          <w:tcPr>
            <w:tcW w:w="2869"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499C8EE0">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 xml:space="preserve">5.13 </w:t>
            </w:r>
          </w:p>
        </w:tc>
        <w:tc>
          <w:tcPr>
            <w:tcW w:w="3780"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2F210E28">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 xml:space="preserve">3.9 </w:t>
            </w:r>
          </w:p>
        </w:tc>
      </w:tr>
      <w:tr w14:paraId="140ABC3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00" w:hRule="atLeast"/>
        </w:trPr>
        <w:tc>
          <w:tcPr>
            <w:tcW w:w="2621"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1EFE57AD">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2033</w:t>
            </w:r>
          </w:p>
        </w:tc>
        <w:tc>
          <w:tcPr>
            <w:tcW w:w="2869"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4D333934">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 xml:space="preserve">5.32 </w:t>
            </w:r>
          </w:p>
        </w:tc>
        <w:tc>
          <w:tcPr>
            <w:tcW w:w="3780"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53C64607">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 xml:space="preserve">4.0 </w:t>
            </w:r>
          </w:p>
        </w:tc>
      </w:tr>
      <w:tr w14:paraId="7D6AAE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trPr>
        <w:tc>
          <w:tcPr>
            <w:tcW w:w="2621"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158A768F">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2034</w:t>
            </w:r>
          </w:p>
        </w:tc>
        <w:tc>
          <w:tcPr>
            <w:tcW w:w="2869"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2C8924D4">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 xml:space="preserve">5.51 </w:t>
            </w:r>
          </w:p>
        </w:tc>
        <w:tc>
          <w:tcPr>
            <w:tcW w:w="3780"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4EF34501">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 xml:space="preserve">4.1 </w:t>
            </w:r>
          </w:p>
        </w:tc>
      </w:tr>
      <w:tr w14:paraId="3032F3C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00" w:hRule="atLeast"/>
        </w:trPr>
        <w:tc>
          <w:tcPr>
            <w:tcW w:w="2621"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1039F144">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2035</w:t>
            </w:r>
          </w:p>
        </w:tc>
        <w:tc>
          <w:tcPr>
            <w:tcW w:w="2869"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5B787506">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 xml:space="preserve">5.71 </w:t>
            </w:r>
          </w:p>
        </w:tc>
        <w:tc>
          <w:tcPr>
            <w:tcW w:w="3780"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693958D5">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 xml:space="preserve">4.3 </w:t>
            </w:r>
          </w:p>
        </w:tc>
      </w:tr>
      <w:tr w14:paraId="1BD31F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trPr>
        <w:tc>
          <w:tcPr>
            <w:tcW w:w="2621" w:type="dxa"/>
            <w:tcBorders>
              <w:top w:val="nil"/>
              <w:left w:val="single" w:color="000000" w:sz="8" w:space="0"/>
              <w:bottom w:val="single" w:color="000000" w:sz="8" w:space="0"/>
              <w:right w:val="single" w:color="000000" w:sz="8" w:space="0"/>
            </w:tcBorders>
            <w:shd w:val="clear" w:color="auto" w:fill="auto"/>
            <w:noWrap/>
            <w:tcMar>
              <w:top w:w="15" w:type="dxa"/>
              <w:left w:w="15" w:type="dxa"/>
              <w:right w:w="15" w:type="dxa"/>
            </w:tcMar>
            <w:vAlign w:val="top"/>
          </w:tcPr>
          <w:p w14:paraId="72ACF153">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eastAsia" w:ascii="仿宋_GB2312" w:hAnsi="仿宋_GB2312" w:eastAsia="仿宋_GB2312" w:cs="仿宋_GB2312"/>
                <w:sz w:val="24"/>
                <w:szCs w:val="24"/>
                <w:highlight w:val="none"/>
                <w:vertAlign w:val="baseline"/>
                <w:lang w:val="en-US" w:eastAsia="zh-CN"/>
              </w:rPr>
              <w:t>近期</w:t>
            </w:r>
            <w:r>
              <w:rPr>
                <w:rFonts w:hint="default" w:ascii="Times New Roman" w:hAnsi="Times New Roman" w:eastAsia="华文仿宋" w:cs="Times New Roman"/>
                <w:sz w:val="24"/>
                <w:szCs w:val="24"/>
                <w:highlight w:val="none"/>
                <w:vertAlign w:val="baseline"/>
                <w:lang w:val="en-US" w:eastAsia="zh-CN"/>
              </w:rPr>
              <w:t>2024</w:t>
            </w:r>
            <w:r>
              <w:rPr>
                <w:rFonts w:hint="eastAsia" w:eastAsia="华文仿宋" w:cs="Times New Roman"/>
                <w:sz w:val="24"/>
                <w:szCs w:val="24"/>
                <w:highlight w:val="none"/>
                <w:vertAlign w:val="baseline"/>
                <w:lang w:val="en-US" w:eastAsia="zh-CN"/>
              </w:rPr>
              <w:t>—</w:t>
            </w:r>
            <w:r>
              <w:rPr>
                <w:rFonts w:hint="default" w:ascii="Times New Roman" w:hAnsi="Times New Roman" w:eastAsia="华文仿宋" w:cs="Times New Roman"/>
                <w:sz w:val="24"/>
                <w:szCs w:val="24"/>
                <w:highlight w:val="none"/>
                <w:vertAlign w:val="baseline"/>
                <w:lang w:val="en-US" w:eastAsia="zh-CN"/>
              </w:rPr>
              <w:t>2030</w:t>
            </w:r>
            <w:r>
              <w:rPr>
                <w:rFonts w:hint="eastAsia" w:ascii="仿宋_GB2312" w:hAnsi="仿宋_GB2312" w:eastAsia="仿宋_GB2312" w:cs="仿宋_GB2312"/>
                <w:sz w:val="24"/>
                <w:szCs w:val="24"/>
                <w:highlight w:val="none"/>
                <w:vertAlign w:val="baseline"/>
                <w:lang w:val="en-US" w:eastAsia="zh-CN"/>
              </w:rPr>
              <w:t>(万吨)</w:t>
            </w:r>
          </w:p>
        </w:tc>
        <w:tc>
          <w:tcPr>
            <w:tcW w:w="2869"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78905AEC">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p>
        </w:tc>
        <w:tc>
          <w:tcPr>
            <w:tcW w:w="3780"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6AAA8AC2">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 xml:space="preserve">22.6 </w:t>
            </w:r>
          </w:p>
        </w:tc>
      </w:tr>
      <w:tr w14:paraId="3617A9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trPr>
        <w:tc>
          <w:tcPr>
            <w:tcW w:w="2621" w:type="dxa"/>
            <w:tcBorders>
              <w:top w:val="nil"/>
              <w:left w:val="single" w:color="000000" w:sz="8" w:space="0"/>
              <w:bottom w:val="single" w:color="000000" w:sz="8" w:space="0"/>
              <w:right w:val="single" w:color="000000" w:sz="8" w:space="0"/>
            </w:tcBorders>
            <w:shd w:val="clear" w:color="auto" w:fill="auto"/>
            <w:noWrap/>
            <w:tcMar>
              <w:top w:w="15" w:type="dxa"/>
              <w:left w:w="15" w:type="dxa"/>
              <w:right w:w="15" w:type="dxa"/>
            </w:tcMar>
            <w:vAlign w:val="top"/>
          </w:tcPr>
          <w:p w14:paraId="5B83020D">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eastAsia" w:ascii="仿宋_GB2312" w:hAnsi="仿宋_GB2312" w:eastAsia="仿宋_GB2312" w:cs="仿宋_GB2312"/>
                <w:sz w:val="24"/>
                <w:szCs w:val="24"/>
                <w:highlight w:val="none"/>
                <w:vertAlign w:val="baseline"/>
                <w:lang w:val="en-US" w:eastAsia="zh-CN"/>
              </w:rPr>
              <w:t>远期</w:t>
            </w:r>
            <w:r>
              <w:rPr>
                <w:rFonts w:hint="default" w:ascii="Times New Roman" w:hAnsi="Times New Roman" w:eastAsia="华文仿宋" w:cs="Times New Roman"/>
                <w:sz w:val="24"/>
                <w:szCs w:val="24"/>
                <w:highlight w:val="none"/>
                <w:vertAlign w:val="baseline"/>
                <w:lang w:val="en-US" w:eastAsia="zh-CN"/>
              </w:rPr>
              <w:t>2031</w:t>
            </w:r>
            <w:r>
              <w:rPr>
                <w:rFonts w:hint="eastAsia" w:eastAsia="华文仿宋" w:cs="Times New Roman"/>
                <w:sz w:val="24"/>
                <w:szCs w:val="24"/>
                <w:highlight w:val="none"/>
                <w:vertAlign w:val="baseline"/>
                <w:lang w:val="en-US" w:eastAsia="zh-CN"/>
              </w:rPr>
              <w:t>—</w:t>
            </w:r>
            <w:r>
              <w:rPr>
                <w:rFonts w:hint="default" w:ascii="Times New Roman" w:hAnsi="Times New Roman" w:eastAsia="华文仿宋" w:cs="Times New Roman"/>
                <w:sz w:val="24"/>
                <w:szCs w:val="24"/>
                <w:highlight w:val="none"/>
                <w:vertAlign w:val="baseline"/>
                <w:lang w:val="en-US" w:eastAsia="zh-CN"/>
              </w:rPr>
              <w:t>2035</w:t>
            </w:r>
            <w:r>
              <w:rPr>
                <w:rFonts w:hint="eastAsia" w:ascii="仿宋_GB2312" w:hAnsi="仿宋_GB2312" w:eastAsia="仿宋_GB2312" w:cs="仿宋_GB2312"/>
                <w:sz w:val="24"/>
                <w:szCs w:val="24"/>
                <w:highlight w:val="none"/>
                <w:vertAlign w:val="baseline"/>
                <w:lang w:val="en-US" w:eastAsia="zh-CN"/>
              </w:rPr>
              <w:t>(万吨)</w:t>
            </w:r>
          </w:p>
        </w:tc>
        <w:tc>
          <w:tcPr>
            <w:tcW w:w="2869"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54A56BF3">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p>
        </w:tc>
        <w:tc>
          <w:tcPr>
            <w:tcW w:w="3780"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15A9159A">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 xml:space="preserve">20.0 </w:t>
            </w:r>
          </w:p>
        </w:tc>
      </w:tr>
    </w:tbl>
    <w:p w14:paraId="5962F1CC">
      <w:pPr>
        <w:pageBreakBefore w:val="0"/>
        <w:kinsoku/>
        <w:wordWrap/>
        <w:topLinePunct w:val="0"/>
        <w:bidi w:val="0"/>
        <w:spacing w:beforeAutospacing="0" w:afterAutospacing="0" w:line="560" w:lineRule="exact"/>
        <w:ind w:left="0" w:leftChars="0" w:firstLine="640" w:firstLineChars="200"/>
        <w:rPr>
          <w:rFonts w:hint="default" w:ascii="Times New Roman" w:hAnsi="Times New Roman" w:eastAsia="仿宋_GB2312" w:cs="Times New Roman"/>
          <w:b w:val="0"/>
          <w:bCs w:val="0"/>
          <w:color w:val="auto"/>
          <w:sz w:val="32"/>
          <w:szCs w:val="32"/>
          <w:u w:val="none"/>
          <w:lang w:val="en-US" w:eastAsia="zh-CN"/>
        </w:rPr>
      </w:pPr>
      <w:r>
        <w:rPr>
          <w:rFonts w:hint="default" w:ascii="Times New Roman" w:hAnsi="Times New Roman" w:eastAsia="仿宋_GB2312" w:cs="Times New Roman"/>
          <w:b w:val="0"/>
          <w:bCs w:val="0"/>
          <w:color w:val="auto"/>
          <w:sz w:val="32"/>
          <w:szCs w:val="32"/>
          <w:u w:val="none"/>
          <w:lang w:val="en-US" w:eastAsia="zh-CN"/>
        </w:rPr>
        <w:t>6．小结</w:t>
      </w:r>
    </w:p>
    <w:p w14:paraId="552D0D86">
      <w:pPr>
        <w:pageBreakBefore w:val="0"/>
        <w:kinsoku/>
        <w:wordWrap/>
        <w:topLinePunct w:val="0"/>
        <w:bidi w:val="0"/>
        <w:spacing w:beforeAutospacing="0" w:afterAutospacing="0" w:line="560" w:lineRule="exact"/>
        <w:ind w:left="0" w:leftChars="0" w:firstLine="640"/>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bCs/>
          <w:color w:val="auto"/>
          <w:sz w:val="32"/>
          <w:szCs w:val="32"/>
          <w:highlight w:val="none"/>
          <w:u w:val="none"/>
          <w:lang w:val="en-US" w:eastAsia="zh-CN"/>
        </w:rPr>
        <w:t>融安县</w:t>
      </w:r>
      <w:r>
        <w:rPr>
          <w:rFonts w:hint="default" w:ascii="Times New Roman" w:hAnsi="Times New Roman" w:eastAsia="仿宋_GB2312" w:cs="Times New Roman"/>
          <w:bCs/>
          <w:color w:val="auto"/>
          <w:sz w:val="32"/>
          <w:szCs w:val="32"/>
          <w:highlight w:val="none"/>
          <w:u w:val="none"/>
        </w:rPr>
        <w:t>近远期建筑垃圾量如下表：</w:t>
      </w:r>
    </w:p>
    <w:p w14:paraId="63E0E1EF">
      <w:pPr>
        <w:pageBreakBefore w:val="0"/>
        <w:kinsoku/>
        <w:wordWrap/>
        <w:topLinePunct w:val="0"/>
        <w:bidi w:val="0"/>
        <w:spacing w:beforeAutospacing="0" w:afterAutospacing="0" w:line="560" w:lineRule="exact"/>
        <w:ind w:left="0" w:leftChars="0"/>
        <w:jc w:val="center"/>
        <w:rPr>
          <w:rFonts w:hint="eastAsia"/>
          <w:bCs/>
          <w:szCs w:val="32"/>
          <w:highlight w:val="none"/>
          <w:lang w:eastAsia="zh-CN"/>
        </w:rPr>
      </w:pPr>
      <w:r>
        <w:rPr>
          <w:rFonts w:hint="default" w:ascii="Times New Roman" w:hAnsi="Times New Roman" w:eastAsia="仿宋_GB2312" w:cs="Times New Roman"/>
          <w:bCs/>
          <w:sz w:val="32"/>
          <w:szCs w:val="32"/>
          <w:highlight w:val="none"/>
          <w:lang w:eastAsia="zh-CN"/>
        </w:rPr>
        <w:t>表：</w:t>
      </w:r>
      <w:r>
        <w:rPr>
          <w:rFonts w:hint="default" w:ascii="Times New Roman" w:hAnsi="Times New Roman" w:eastAsia="仿宋_GB2312" w:cs="Times New Roman"/>
          <w:bCs/>
          <w:color w:val="auto"/>
          <w:sz w:val="32"/>
          <w:szCs w:val="32"/>
          <w:highlight w:val="none"/>
          <w:u w:val="none"/>
          <w:lang w:val="en-US" w:eastAsia="zh-CN"/>
        </w:rPr>
        <w:t>融安县</w:t>
      </w:r>
      <w:r>
        <w:rPr>
          <w:rFonts w:hint="default" w:ascii="Times New Roman" w:hAnsi="Times New Roman" w:eastAsia="仿宋_GB2312" w:cs="Times New Roman"/>
          <w:sz w:val="32"/>
          <w:szCs w:val="32"/>
          <w:highlight w:val="none"/>
          <w:lang w:val="en-US" w:eastAsia="zh-CN"/>
        </w:rPr>
        <w:t>城区</w:t>
      </w:r>
      <w:r>
        <w:rPr>
          <w:rFonts w:hint="default" w:ascii="Times New Roman" w:hAnsi="Times New Roman" w:eastAsia="仿宋_GB2312" w:cs="Times New Roman"/>
          <w:bCs/>
          <w:sz w:val="32"/>
          <w:szCs w:val="32"/>
          <w:highlight w:val="none"/>
          <w:lang w:eastAsia="zh-CN"/>
        </w:rPr>
        <w:t>建筑垃圾分类预测表</w:t>
      </w:r>
    </w:p>
    <w:tbl>
      <w:tblPr>
        <w:tblStyle w:val="16"/>
        <w:tblW w:w="927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2385"/>
        <w:gridCol w:w="3105"/>
        <w:gridCol w:w="3780"/>
      </w:tblGrid>
      <w:tr w14:paraId="230F652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69" w:hRule="atLeast"/>
        </w:trPr>
        <w:tc>
          <w:tcPr>
            <w:tcW w:w="2385" w:type="dxa"/>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14:paraId="7833D044">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黑体" w:hAnsi="黑体" w:eastAsia="黑体" w:cs="黑体"/>
                <w:sz w:val="24"/>
                <w:szCs w:val="24"/>
                <w:highlight w:val="none"/>
                <w:vertAlign w:val="baseline"/>
                <w:lang w:val="en-US" w:eastAsia="zh-CN"/>
              </w:rPr>
            </w:pPr>
            <w:r>
              <w:rPr>
                <w:rFonts w:hint="eastAsia" w:ascii="黑体" w:hAnsi="黑体" w:eastAsia="黑体" w:cs="黑体"/>
                <w:sz w:val="24"/>
                <w:szCs w:val="24"/>
                <w:highlight w:val="none"/>
                <w:vertAlign w:val="baseline"/>
                <w:lang w:val="en-US" w:eastAsia="zh-CN"/>
              </w:rPr>
              <w:t>建筑垃圾类型</w:t>
            </w:r>
          </w:p>
        </w:tc>
        <w:tc>
          <w:tcPr>
            <w:tcW w:w="3105" w:type="dxa"/>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14:paraId="2313E8E3">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黑体" w:hAnsi="黑体" w:eastAsia="黑体" w:cs="黑体"/>
                <w:sz w:val="24"/>
                <w:szCs w:val="24"/>
                <w:highlight w:val="none"/>
                <w:vertAlign w:val="baseline"/>
                <w:lang w:val="en-US" w:eastAsia="zh-CN"/>
              </w:rPr>
            </w:pPr>
            <w:r>
              <w:rPr>
                <w:rFonts w:hint="default" w:ascii="Times New Roman" w:hAnsi="Times New Roman" w:eastAsia="黑体" w:cs="Times New Roman"/>
                <w:sz w:val="24"/>
                <w:szCs w:val="24"/>
                <w:highlight w:val="none"/>
                <w:vertAlign w:val="baseline"/>
                <w:lang w:val="en-US" w:eastAsia="zh-CN"/>
              </w:rPr>
              <w:t>2024</w:t>
            </w:r>
            <w:r>
              <w:rPr>
                <w:rFonts w:hint="eastAsia" w:ascii="黑体" w:hAnsi="黑体" w:eastAsia="黑体" w:cs="黑体"/>
                <w:sz w:val="24"/>
                <w:szCs w:val="24"/>
                <w:highlight w:val="none"/>
                <w:vertAlign w:val="baseline"/>
                <w:lang w:val="en-US" w:eastAsia="zh-CN"/>
              </w:rPr>
              <w:t>—</w:t>
            </w:r>
            <w:r>
              <w:rPr>
                <w:rFonts w:hint="default" w:ascii="Times New Roman" w:hAnsi="Times New Roman" w:eastAsia="黑体" w:cs="Times New Roman"/>
                <w:sz w:val="24"/>
                <w:szCs w:val="24"/>
                <w:highlight w:val="none"/>
                <w:vertAlign w:val="baseline"/>
                <w:lang w:val="en-US" w:eastAsia="zh-CN"/>
              </w:rPr>
              <w:t>2030</w:t>
            </w:r>
            <w:r>
              <w:rPr>
                <w:rFonts w:hint="eastAsia" w:ascii="黑体" w:hAnsi="黑体" w:eastAsia="黑体" w:cs="黑体"/>
                <w:sz w:val="24"/>
                <w:szCs w:val="24"/>
                <w:highlight w:val="none"/>
                <w:vertAlign w:val="baseline"/>
                <w:lang w:val="en-US" w:eastAsia="zh-CN"/>
              </w:rPr>
              <w:t>年（万吨）</w:t>
            </w:r>
          </w:p>
        </w:tc>
        <w:tc>
          <w:tcPr>
            <w:tcW w:w="3780" w:type="dxa"/>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14:paraId="73E85FAD">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黑体" w:hAnsi="黑体" w:eastAsia="黑体" w:cs="黑体"/>
                <w:sz w:val="24"/>
                <w:szCs w:val="24"/>
                <w:highlight w:val="none"/>
                <w:vertAlign w:val="baseline"/>
                <w:lang w:val="en-US" w:eastAsia="zh-CN"/>
              </w:rPr>
            </w:pPr>
            <w:r>
              <w:rPr>
                <w:rFonts w:hint="default" w:ascii="Times New Roman" w:hAnsi="Times New Roman" w:eastAsia="黑体" w:cs="Times New Roman"/>
                <w:sz w:val="24"/>
                <w:szCs w:val="24"/>
                <w:highlight w:val="none"/>
                <w:vertAlign w:val="baseline"/>
                <w:lang w:val="en-US" w:eastAsia="zh-CN"/>
              </w:rPr>
              <w:t>2031</w:t>
            </w:r>
            <w:r>
              <w:rPr>
                <w:rFonts w:hint="eastAsia" w:ascii="黑体" w:hAnsi="黑体" w:eastAsia="黑体" w:cs="黑体"/>
                <w:sz w:val="24"/>
                <w:szCs w:val="24"/>
                <w:highlight w:val="none"/>
                <w:vertAlign w:val="baseline"/>
                <w:lang w:val="en-US" w:eastAsia="zh-CN"/>
              </w:rPr>
              <w:t>—</w:t>
            </w:r>
            <w:r>
              <w:rPr>
                <w:rFonts w:hint="default" w:ascii="Times New Roman" w:hAnsi="Times New Roman" w:eastAsia="黑体" w:cs="Times New Roman"/>
                <w:sz w:val="24"/>
                <w:szCs w:val="24"/>
                <w:highlight w:val="none"/>
                <w:vertAlign w:val="baseline"/>
                <w:lang w:val="en-US" w:eastAsia="zh-CN"/>
              </w:rPr>
              <w:t>2035</w:t>
            </w:r>
            <w:r>
              <w:rPr>
                <w:rFonts w:hint="eastAsia" w:ascii="黑体" w:hAnsi="黑体" w:eastAsia="黑体" w:cs="黑体"/>
                <w:sz w:val="24"/>
                <w:szCs w:val="24"/>
                <w:highlight w:val="none"/>
                <w:vertAlign w:val="baseline"/>
                <w:lang w:val="en-US" w:eastAsia="zh-CN"/>
              </w:rPr>
              <w:t>年（万吨）</w:t>
            </w:r>
          </w:p>
        </w:tc>
      </w:tr>
      <w:tr w14:paraId="6BCC7A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trPr>
        <w:tc>
          <w:tcPr>
            <w:tcW w:w="2385"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361173E2">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工</w:t>
            </w:r>
            <w:r>
              <w:rPr>
                <w:rFonts w:hint="default" w:ascii="Times New Roman" w:hAnsi="Times New Roman" w:eastAsia="仿宋_GB2312" w:cs="Times New Roman"/>
                <w:i w:val="0"/>
                <w:color w:val="000000"/>
                <w:kern w:val="0"/>
                <w:sz w:val="24"/>
                <w:szCs w:val="24"/>
                <w:highlight w:val="none"/>
                <w:u w:val="none"/>
                <w:lang w:val="en-US" w:eastAsia="zh-CN" w:bidi="ar"/>
              </w:rPr>
              <w:t>程渣土</w:t>
            </w:r>
          </w:p>
        </w:tc>
        <w:tc>
          <w:tcPr>
            <w:tcW w:w="3105"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14:paraId="49CD5BF9">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仿宋_GB2312" w:cs="Times New Roman"/>
                <w:i w:val="0"/>
                <w:color w:val="000000"/>
                <w:kern w:val="0"/>
                <w:sz w:val="24"/>
                <w:szCs w:val="24"/>
                <w:highlight w:val="none"/>
                <w:u w:val="none"/>
                <w:lang w:val="en-US" w:eastAsia="zh-CN" w:bidi="ar"/>
              </w:rPr>
            </w:pPr>
            <w:r>
              <w:rPr>
                <w:rFonts w:hint="default" w:ascii="Times New Roman" w:hAnsi="Times New Roman" w:eastAsia="仿宋_GB2312" w:cs="Times New Roman"/>
                <w:i w:val="0"/>
                <w:color w:val="000000"/>
                <w:kern w:val="0"/>
                <w:sz w:val="24"/>
                <w:szCs w:val="24"/>
                <w:highlight w:val="none"/>
                <w:u w:val="none"/>
                <w:lang w:val="en-US" w:eastAsia="zh-CN" w:bidi="ar"/>
              </w:rPr>
              <w:t xml:space="preserve">290.6 </w:t>
            </w:r>
          </w:p>
        </w:tc>
        <w:tc>
          <w:tcPr>
            <w:tcW w:w="3780"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14:paraId="1E73462E">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仿宋_GB2312" w:cs="Times New Roman"/>
                <w:i w:val="0"/>
                <w:color w:val="000000"/>
                <w:kern w:val="0"/>
                <w:sz w:val="24"/>
                <w:szCs w:val="24"/>
                <w:highlight w:val="none"/>
                <w:u w:val="none"/>
                <w:lang w:val="en-US" w:eastAsia="zh-CN" w:bidi="ar"/>
              </w:rPr>
            </w:pPr>
            <w:r>
              <w:rPr>
                <w:rFonts w:hint="default" w:ascii="Times New Roman" w:hAnsi="Times New Roman" w:eastAsia="仿宋_GB2312" w:cs="Times New Roman"/>
                <w:i w:val="0"/>
                <w:color w:val="000000"/>
                <w:kern w:val="0"/>
                <w:sz w:val="24"/>
                <w:szCs w:val="24"/>
                <w:highlight w:val="none"/>
                <w:u w:val="none"/>
                <w:lang w:val="en-US" w:eastAsia="zh-CN" w:bidi="ar"/>
              </w:rPr>
              <w:t xml:space="preserve">152.2 </w:t>
            </w:r>
          </w:p>
        </w:tc>
      </w:tr>
      <w:tr w14:paraId="4AC658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trPr>
        <w:tc>
          <w:tcPr>
            <w:tcW w:w="2385" w:type="dxa"/>
            <w:tcBorders>
              <w:top w:val="nil"/>
              <w:left w:val="single" w:color="000000" w:sz="8" w:space="0"/>
              <w:bottom w:val="single" w:color="auto" w:sz="4" w:space="0"/>
              <w:right w:val="single" w:color="000000" w:sz="8" w:space="0"/>
            </w:tcBorders>
            <w:shd w:val="clear" w:color="auto" w:fill="auto"/>
            <w:tcMar>
              <w:top w:w="15" w:type="dxa"/>
              <w:left w:w="15" w:type="dxa"/>
              <w:right w:w="15" w:type="dxa"/>
            </w:tcMar>
            <w:vAlign w:val="top"/>
          </w:tcPr>
          <w:p w14:paraId="1AB666B3">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工程泥浆</w:t>
            </w:r>
          </w:p>
        </w:tc>
        <w:tc>
          <w:tcPr>
            <w:tcW w:w="3105" w:type="dxa"/>
            <w:tcBorders>
              <w:top w:val="nil"/>
              <w:left w:val="single" w:color="000000" w:sz="8" w:space="0"/>
              <w:bottom w:val="single" w:color="auto" w:sz="4" w:space="0"/>
              <w:right w:val="single" w:color="000000" w:sz="8" w:space="0"/>
            </w:tcBorders>
            <w:shd w:val="clear" w:color="auto" w:fill="auto"/>
            <w:tcMar>
              <w:top w:w="15" w:type="dxa"/>
              <w:left w:w="15" w:type="dxa"/>
              <w:right w:w="15" w:type="dxa"/>
            </w:tcMar>
            <w:vAlign w:val="center"/>
          </w:tcPr>
          <w:p w14:paraId="5A6F9EBF">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仿宋_GB2312" w:cs="Times New Roman"/>
                <w:i w:val="0"/>
                <w:color w:val="000000"/>
                <w:kern w:val="0"/>
                <w:sz w:val="24"/>
                <w:szCs w:val="24"/>
                <w:highlight w:val="none"/>
                <w:u w:val="none"/>
                <w:lang w:val="en-US" w:eastAsia="zh-CN" w:bidi="ar"/>
              </w:rPr>
            </w:pPr>
            <w:r>
              <w:rPr>
                <w:rFonts w:hint="default" w:ascii="Times New Roman" w:hAnsi="Times New Roman" w:eastAsia="仿宋_GB2312" w:cs="Times New Roman"/>
                <w:i w:val="0"/>
                <w:color w:val="000000"/>
                <w:kern w:val="0"/>
                <w:sz w:val="24"/>
                <w:szCs w:val="24"/>
                <w:highlight w:val="none"/>
                <w:u w:val="none"/>
                <w:lang w:val="en-US" w:eastAsia="zh-CN" w:bidi="ar"/>
              </w:rPr>
              <w:t xml:space="preserve">6.7 </w:t>
            </w:r>
          </w:p>
        </w:tc>
        <w:tc>
          <w:tcPr>
            <w:tcW w:w="3780" w:type="dxa"/>
            <w:tcBorders>
              <w:top w:val="nil"/>
              <w:left w:val="single" w:color="000000" w:sz="8" w:space="0"/>
              <w:bottom w:val="single" w:color="auto" w:sz="4" w:space="0"/>
              <w:right w:val="single" w:color="000000" w:sz="8" w:space="0"/>
            </w:tcBorders>
            <w:shd w:val="clear" w:color="auto" w:fill="auto"/>
            <w:tcMar>
              <w:top w:w="15" w:type="dxa"/>
              <w:left w:w="15" w:type="dxa"/>
              <w:right w:w="15" w:type="dxa"/>
            </w:tcMar>
            <w:vAlign w:val="center"/>
          </w:tcPr>
          <w:p w14:paraId="3F095A7C">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仿宋_GB2312" w:cs="Times New Roman"/>
                <w:i w:val="0"/>
                <w:color w:val="000000"/>
                <w:kern w:val="0"/>
                <w:sz w:val="24"/>
                <w:szCs w:val="24"/>
                <w:highlight w:val="none"/>
                <w:u w:val="none"/>
                <w:lang w:val="en-US" w:eastAsia="zh-CN" w:bidi="ar"/>
              </w:rPr>
            </w:pPr>
            <w:r>
              <w:rPr>
                <w:rFonts w:hint="default" w:ascii="Times New Roman" w:hAnsi="Times New Roman" w:eastAsia="仿宋_GB2312" w:cs="Times New Roman"/>
                <w:i w:val="0"/>
                <w:color w:val="000000"/>
                <w:kern w:val="0"/>
                <w:sz w:val="24"/>
                <w:szCs w:val="24"/>
                <w:highlight w:val="none"/>
                <w:u w:val="none"/>
                <w:lang w:val="en-US" w:eastAsia="zh-CN" w:bidi="ar"/>
              </w:rPr>
              <w:t xml:space="preserve">3.5 </w:t>
            </w:r>
          </w:p>
        </w:tc>
      </w:tr>
      <w:tr w14:paraId="1A8487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trPr>
        <w:tc>
          <w:tcPr>
            <w:tcW w:w="2385" w:type="dxa"/>
            <w:tcBorders>
              <w:top w:val="single" w:color="auto" w:sz="4" w:space="0"/>
              <w:left w:val="single" w:color="auto" w:sz="4" w:space="0"/>
              <w:bottom w:val="single" w:color="000000" w:sz="8" w:space="0"/>
              <w:right w:val="single" w:color="000000" w:sz="8" w:space="0"/>
            </w:tcBorders>
            <w:shd w:val="clear" w:color="auto" w:fill="auto"/>
            <w:tcMar>
              <w:top w:w="15" w:type="dxa"/>
              <w:left w:w="15" w:type="dxa"/>
              <w:right w:w="15" w:type="dxa"/>
            </w:tcMar>
            <w:vAlign w:val="top"/>
          </w:tcPr>
          <w:p w14:paraId="10C39562">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工程垃圾</w:t>
            </w:r>
          </w:p>
        </w:tc>
        <w:tc>
          <w:tcPr>
            <w:tcW w:w="3105" w:type="dxa"/>
            <w:tcBorders>
              <w:top w:val="single" w:color="auto" w:sz="4"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14:paraId="0E76B5DD">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仿宋_GB2312" w:cs="Times New Roman"/>
                <w:i w:val="0"/>
                <w:color w:val="000000"/>
                <w:kern w:val="0"/>
                <w:sz w:val="24"/>
                <w:szCs w:val="24"/>
                <w:highlight w:val="none"/>
                <w:u w:val="none"/>
                <w:lang w:val="en-US" w:eastAsia="zh-CN" w:bidi="ar"/>
              </w:rPr>
            </w:pPr>
            <w:r>
              <w:rPr>
                <w:rFonts w:hint="default" w:ascii="Times New Roman" w:hAnsi="Times New Roman" w:eastAsia="仿宋_GB2312" w:cs="Times New Roman"/>
                <w:i w:val="0"/>
                <w:color w:val="000000"/>
                <w:kern w:val="0"/>
                <w:sz w:val="24"/>
                <w:szCs w:val="24"/>
                <w:highlight w:val="none"/>
                <w:u w:val="none"/>
                <w:lang w:val="en-US" w:eastAsia="zh-CN" w:bidi="ar"/>
              </w:rPr>
              <w:t xml:space="preserve">6.7 </w:t>
            </w:r>
          </w:p>
        </w:tc>
        <w:tc>
          <w:tcPr>
            <w:tcW w:w="3780" w:type="dxa"/>
            <w:tcBorders>
              <w:top w:val="single" w:color="auto" w:sz="4" w:space="0"/>
              <w:left w:val="single" w:color="000000" w:sz="8" w:space="0"/>
              <w:bottom w:val="single" w:color="000000" w:sz="8" w:space="0"/>
              <w:right w:val="single" w:color="auto" w:sz="4" w:space="0"/>
            </w:tcBorders>
            <w:shd w:val="clear" w:color="auto" w:fill="auto"/>
            <w:tcMar>
              <w:top w:w="15" w:type="dxa"/>
              <w:left w:w="15" w:type="dxa"/>
              <w:right w:w="15" w:type="dxa"/>
            </w:tcMar>
            <w:vAlign w:val="center"/>
          </w:tcPr>
          <w:p w14:paraId="36931F8A">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仿宋_GB2312" w:cs="Times New Roman"/>
                <w:i w:val="0"/>
                <w:color w:val="000000"/>
                <w:kern w:val="0"/>
                <w:sz w:val="24"/>
                <w:szCs w:val="24"/>
                <w:highlight w:val="none"/>
                <w:u w:val="none"/>
                <w:lang w:val="en-US" w:eastAsia="zh-CN" w:bidi="ar"/>
              </w:rPr>
            </w:pPr>
            <w:r>
              <w:rPr>
                <w:rFonts w:hint="default" w:ascii="Times New Roman" w:hAnsi="Times New Roman" w:eastAsia="仿宋_GB2312" w:cs="Times New Roman"/>
                <w:i w:val="0"/>
                <w:color w:val="000000"/>
                <w:kern w:val="0"/>
                <w:sz w:val="24"/>
                <w:szCs w:val="24"/>
                <w:highlight w:val="none"/>
                <w:u w:val="none"/>
                <w:lang w:val="en-US" w:eastAsia="zh-CN" w:bidi="ar"/>
              </w:rPr>
              <w:t xml:space="preserve">3.5 </w:t>
            </w:r>
          </w:p>
        </w:tc>
      </w:tr>
      <w:tr w14:paraId="1ADF77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trPr>
        <w:tc>
          <w:tcPr>
            <w:tcW w:w="2385" w:type="dxa"/>
            <w:tcBorders>
              <w:top w:val="nil"/>
              <w:left w:val="single" w:color="auto" w:sz="4" w:space="0"/>
              <w:bottom w:val="single" w:color="000000" w:sz="8" w:space="0"/>
              <w:right w:val="single" w:color="000000" w:sz="8" w:space="0"/>
            </w:tcBorders>
            <w:shd w:val="clear" w:color="auto" w:fill="auto"/>
            <w:tcMar>
              <w:top w:w="15" w:type="dxa"/>
              <w:left w:w="15" w:type="dxa"/>
              <w:right w:w="15" w:type="dxa"/>
            </w:tcMar>
            <w:vAlign w:val="top"/>
          </w:tcPr>
          <w:p w14:paraId="68CD7DB3">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拆除垃圾</w:t>
            </w:r>
          </w:p>
        </w:tc>
        <w:tc>
          <w:tcPr>
            <w:tcW w:w="3105"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14:paraId="54D6834C">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仿宋_GB2312" w:cs="Times New Roman"/>
                <w:i w:val="0"/>
                <w:color w:val="000000"/>
                <w:kern w:val="0"/>
                <w:sz w:val="24"/>
                <w:szCs w:val="24"/>
                <w:highlight w:val="none"/>
                <w:u w:val="none"/>
                <w:lang w:val="en-US" w:eastAsia="zh-CN" w:bidi="ar"/>
              </w:rPr>
            </w:pPr>
            <w:r>
              <w:rPr>
                <w:rFonts w:hint="default" w:ascii="Times New Roman" w:hAnsi="Times New Roman" w:eastAsia="仿宋_GB2312" w:cs="Times New Roman"/>
                <w:i w:val="0"/>
                <w:color w:val="000000"/>
                <w:kern w:val="0"/>
                <w:sz w:val="24"/>
                <w:szCs w:val="24"/>
                <w:highlight w:val="none"/>
                <w:u w:val="none"/>
                <w:lang w:val="en-US" w:eastAsia="zh-CN" w:bidi="ar"/>
              </w:rPr>
              <w:t xml:space="preserve">26.8 </w:t>
            </w:r>
          </w:p>
        </w:tc>
        <w:tc>
          <w:tcPr>
            <w:tcW w:w="3780" w:type="dxa"/>
            <w:tcBorders>
              <w:top w:val="nil"/>
              <w:left w:val="single" w:color="000000" w:sz="8" w:space="0"/>
              <w:bottom w:val="single" w:color="000000" w:sz="8" w:space="0"/>
              <w:right w:val="single" w:color="auto" w:sz="4" w:space="0"/>
            </w:tcBorders>
            <w:shd w:val="clear" w:color="auto" w:fill="auto"/>
            <w:tcMar>
              <w:top w:w="15" w:type="dxa"/>
              <w:left w:w="15" w:type="dxa"/>
              <w:right w:w="15" w:type="dxa"/>
            </w:tcMar>
            <w:vAlign w:val="center"/>
          </w:tcPr>
          <w:p w14:paraId="0810654D">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仿宋_GB2312" w:cs="Times New Roman"/>
                <w:i w:val="0"/>
                <w:color w:val="000000"/>
                <w:kern w:val="0"/>
                <w:sz w:val="24"/>
                <w:szCs w:val="24"/>
                <w:highlight w:val="none"/>
                <w:u w:val="none"/>
                <w:lang w:val="en-US" w:eastAsia="zh-CN" w:bidi="ar"/>
              </w:rPr>
            </w:pPr>
            <w:r>
              <w:rPr>
                <w:rFonts w:hint="default" w:ascii="Times New Roman" w:hAnsi="Times New Roman" w:eastAsia="仿宋_GB2312" w:cs="Times New Roman"/>
                <w:i w:val="0"/>
                <w:color w:val="000000"/>
                <w:kern w:val="0"/>
                <w:sz w:val="24"/>
                <w:szCs w:val="24"/>
                <w:highlight w:val="none"/>
                <w:u w:val="none"/>
                <w:lang w:val="en-US" w:eastAsia="zh-CN" w:bidi="ar"/>
              </w:rPr>
              <w:t xml:space="preserve">14.0 </w:t>
            </w:r>
          </w:p>
        </w:tc>
      </w:tr>
      <w:tr w14:paraId="6DB678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trPr>
        <w:tc>
          <w:tcPr>
            <w:tcW w:w="2385" w:type="dxa"/>
            <w:tcBorders>
              <w:top w:val="nil"/>
              <w:left w:val="single" w:color="auto" w:sz="4" w:space="0"/>
              <w:bottom w:val="single" w:color="auto" w:sz="4" w:space="0"/>
              <w:right w:val="single" w:color="000000" w:sz="8" w:space="0"/>
            </w:tcBorders>
            <w:shd w:val="clear" w:color="auto" w:fill="auto"/>
            <w:tcMar>
              <w:top w:w="15" w:type="dxa"/>
              <w:left w:w="15" w:type="dxa"/>
              <w:right w:w="15" w:type="dxa"/>
            </w:tcMar>
            <w:vAlign w:val="top"/>
          </w:tcPr>
          <w:p w14:paraId="5F57AFB2">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装修垃圾</w:t>
            </w:r>
          </w:p>
        </w:tc>
        <w:tc>
          <w:tcPr>
            <w:tcW w:w="3105" w:type="dxa"/>
            <w:tcBorders>
              <w:top w:val="nil"/>
              <w:left w:val="single" w:color="000000" w:sz="8" w:space="0"/>
              <w:bottom w:val="single" w:color="auto" w:sz="4" w:space="0"/>
              <w:right w:val="single" w:color="000000" w:sz="8" w:space="0"/>
            </w:tcBorders>
            <w:shd w:val="clear" w:color="auto" w:fill="auto"/>
            <w:tcMar>
              <w:top w:w="15" w:type="dxa"/>
              <w:left w:w="15" w:type="dxa"/>
              <w:right w:w="15" w:type="dxa"/>
            </w:tcMar>
            <w:vAlign w:val="center"/>
          </w:tcPr>
          <w:p w14:paraId="3136D8C9">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仿宋_GB2312" w:cs="Times New Roman"/>
                <w:i w:val="0"/>
                <w:color w:val="000000"/>
                <w:kern w:val="0"/>
                <w:sz w:val="24"/>
                <w:szCs w:val="24"/>
                <w:highlight w:val="none"/>
                <w:u w:val="none"/>
                <w:lang w:val="en-US" w:eastAsia="zh-CN" w:bidi="ar"/>
              </w:rPr>
            </w:pPr>
            <w:r>
              <w:rPr>
                <w:rFonts w:hint="default" w:ascii="Times New Roman" w:hAnsi="Times New Roman" w:eastAsia="仿宋_GB2312" w:cs="Times New Roman"/>
                <w:i w:val="0"/>
                <w:color w:val="000000"/>
                <w:kern w:val="0"/>
                <w:sz w:val="24"/>
                <w:szCs w:val="24"/>
                <w:highlight w:val="none"/>
                <w:u w:val="none"/>
                <w:lang w:val="en-US" w:eastAsia="zh-CN" w:bidi="ar"/>
              </w:rPr>
              <w:t xml:space="preserve">22.6 </w:t>
            </w:r>
          </w:p>
        </w:tc>
        <w:tc>
          <w:tcPr>
            <w:tcW w:w="3780" w:type="dxa"/>
            <w:tcBorders>
              <w:top w:val="nil"/>
              <w:left w:val="single" w:color="000000" w:sz="8" w:space="0"/>
              <w:bottom w:val="single" w:color="auto" w:sz="4" w:space="0"/>
              <w:right w:val="single" w:color="auto" w:sz="4" w:space="0"/>
            </w:tcBorders>
            <w:shd w:val="clear" w:color="auto" w:fill="auto"/>
            <w:tcMar>
              <w:top w:w="15" w:type="dxa"/>
              <w:left w:w="15" w:type="dxa"/>
              <w:right w:w="15" w:type="dxa"/>
            </w:tcMar>
            <w:vAlign w:val="top"/>
          </w:tcPr>
          <w:p w14:paraId="15040BCF">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仿宋_GB2312" w:cs="Times New Roman"/>
                <w:i w:val="0"/>
                <w:color w:val="000000"/>
                <w:kern w:val="0"/>
                <w:sz w:val="24"/>
                <w:szCs w:val="24"/>
                <w:highlight w:val="none"/>
                <w:u w:val="none"/>
                <w:lang w:val="en-US" w:eastAsia="zh-CN" w:bidi="ar"/>
              </w:rPr>
            </w:pPr>
            <w:r>
              <w:rPr>
                <w:rFonts w:hint="default" w:ascii="Times New Roman" w:hAnsi="Times New Roman" w:eastAsia="仿宋_GB2312" w:cs="Times New Roman"/>
                <w:i w:val="0"/>
                <w:color w:val="000000"/>
                <w:kern w:val="0"/>
                <w:sz w:val="24"/>
                <w:szCs w:val="24"/>
                <w:highlight w:val="none"/>
                <w:u w:val="none"/>
                <w:lang w:val="en-US" w:eastAsia="zh-CN" w:bidi="ar"/>
              </w:rPr>
              <w:t xml:space="preserve">20.0 </w:t>
            </w:r>
          </w:p>
        </w:tc>
      </w:tr>
      <w:tr w14:paraId="5FEA44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trPr>
        <w:tc>
          <w:tcPr>
            <w:tcW w:w="2385" w:type="dxa"/>
            <w:tcBorders>
              <w:top w:val="single" w:color="auto" w:sz="4" w:space="0"/>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102CFDC8">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总量</w:t>
            </w:r>
          </w:p>
        </w:tc>
        <w:tc>
          <w:tcPr>
            <w:tcW w:w="3105" w:type="dxa"/>
            <w:tcBorders>
              <w:top w:val="single" w:color="auto" w:sz="4"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14:paraId="0C059726">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仿宋_GB2312" w:cs="Times New Roman"/>
                <w:i w:val="0"/>
                <w:color w:val="000000"/>
                <w:kern w:val="0"/>
                <w:sz w:val="24"/>
                <w:szCs w:val="24"/>
                <w:highlight w:val="none"/>
                <w:u w:val="none"/>
                <w:lang w:val="en-US" w:eastAsia="zh-CN" w:bidi="ar"/>
              </w:rPr>
            </w:pPr>
            <w:r>
              <w:rPr>
                <w:rFonts w:hint="default" w:ascii="Times New Roman" w:hAnsi="Times New Roman" w:eastAsia="仿宋_GB2312" w:cs="Times New Roman"/>
                <w:i w:val="0"/>
                <w:color w:val="000000"/>
                <w:kern w:val="0"/>
                <w:sz w:val="24"/>
                <w:szCs w:val="24"/>
                <w:highlight w:val="none"/>
                <w:u w:val="none"/>
                <w:lang w:val="en-US" w:eastAsia="zh-CN" w:bidi="ar"/>
              </w:rPr>
              <w:t xml:space="preserve">353.4 </w:t>
            </w:r>
          </w:p>
        </w:tc>
        <w:tc>
          <w:tcPr>
            <w:tcW w:w="3780" w:type="dxa"/>
            <w:tcBorders>
              <w:top w:val="single" w:color="auto" w:sz="4" w:space="0"/>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5957D69D">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仿宋_GB2312" w:cs="Times New Roman"/>
                <w:i w:val="0"/>
                <w:color w:val="000000"/>
                <w:kern w:val="0"/>
                <w:sz w:val="24"/>
                <w:szCs w:val="24"/>
                <w:highlight w:val="none"/>
                <w:u w:val="none"/>
                <w:lang w:val="en-US" w:eastAsia="zh-CN" w:bidi="ar"/>
              </w:rPr>
            </w:pPr>
            <w:r>
              <w:rPr>
                <w:rFonts w:hint="default" w:ascii="Times New Roman" w:hAnsi="Times New Roman" w:eastAsia="仿宋_GB2312" w:cs="Times New Roman"/>
                <w:i w:val="0"/>
                <w:color w:val="000000"/>
                <w:kern w:val="0"/>
                <w:sz w:val="24"/>
                <w:szCs w:val="24"/>
                <w:highlight w:val="none"/>
                <w:u w:val="none"/>
                <w:lang w:val="en-US" w:eastAsia="zh-CN" w:bidi="ar"/>
              </w:rPr>
              <w:t xml:space="preserve">193.2 </w:t>
            </w:r>
          </w:p>
        </w:tc>
      </w:tr>
    </w:tbl>
    <w:p w14:paraId="49625DA0">
      <w:pPr>
        <w:pageBreakBefore w:val="0"/>
        <w:kinsoku/>
        <w:wordWrap/>
        <w:topLinePunct w:val="0"/>
        <w:bidi w:val="0"/>
        <w:spacing w:beforeAutospacing="0" w:afterAutospacing="0" w:line="560" w:lineRule="exact"/>
        <w:ind w:left="0" w:leftChars="0"/>
        <w:jc w:val="center"/>
        <w:rPr>
          <w:rFonts w:hint="eastAsia"/>
          <w:bCs/>
          <w:color w:val="auto"/>
          <w:sz w:val="24"/>
          <w:szCs w:val="24"/>
          <w:highlight w:val="none"/>
          <w:u w:val="none"/>
          <w:lang w:eastAsia="zh-CN"/>
        </w:rPr>
      </w:pPr>
    </w:p>
    <w:p w14:paraId="293B08A8">
      <w:pPr>
        <w:pStyle w:val="3"/>
        <w:pageBreakBefore w:val="0"/>
        <w:kinsoku/>
        <w:wordWrap/>
        <w:topLinePunct w:val="0"/>
        <w:bidi w:val="0"/>
        <w:spacing w:beforeAutospacing="0" w:afterAutospacing="0" w:line="560" w:lineRule="exact"/>
        <w:ind w:left="0" w:leftChars="0" w:firstLine="640" w:firstLineChars="200"/>
        <w:rPr>
          <w:rFonts w:hint="default" w:ascii="Times New Roman" w:hAnsi="Times New Roman" w:eastAsia="仿宋_GB2312" w:cs="Times New Roman"/>
          <w:color w:val="auto"/>
          <w:sz w:val="32"/>
          <w:szCs w:val="32"/>
          <w:highlight w:val="none"/>
          <w:u w:val="none"/>
          <w:lang w:val="en-US" w:eastAsia="zh-CN"/>
        </w:rPr>
      </w:pPr>
      <w:bookmarkStart w:id="45" w:name="_Toc4166"/>
      <w:bookmarkStart w:id="46" w:name="_Toc14687"/>
      <w:bookmarkStart w:id="47" w:name="_Toc1570"/>
      <w:r>
        <w:rPr>
          <w:rFonts w:hint="eastAsia" w:ascii="楷体_GB2312" w:hAnsi="楷体_GB2312" w:eastAsia="楷体_GB2312" w:cs="楷体_GB2312"/>
          <w:b w:val="0"/>
          <w:bCs w:val="0"/>
          <w:color w:val="auto"/>
          <w:sz w:val="32"/>
          <w:szCs w:val="32"/>
          <w:highlight w:val="none"/>
          <w:u w:val="none"/>
          <w:lang w:val="en-US" w:eastAsia="zh-CN"/>
        </w:rPr>
        <w:t>（二）建筑垃圾处理规模预测</w:t>
      </w:r>
      <w:bookmarkEnd w:id="45"/>
      <w:bookmarkEnd w:id="46"/>
      <w:bookmarkEnd w:id="47"/>
    </w:p>
    <w:p w14:paraId="3ABB4469">
      <w:pPr>
        <w:pageBreakBefore w:val="0"/>
        <w:kinsoku/>
        <w:wordWrap/>
        <w:topLinePunct w:val="0"/>
        <w:bidi w:val="0"/>
        <w:spacing w:beforeAutospacing="0" w:afterAutospacing="0" w:line="560" w:lineRule="exact"/>
        <w:ind w:left="0" w:leftChars="0" w:right="56" w:rightChars="20" w:firstLine="640" w:firstLineChars="200"/>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基于建筑垃圾分类预测的产生量，参考相关政策文件提出的建筑垃圾利用和处置目标要求，结合区域经济性、技术可行性和可靠性等因素，分别确定各类建筑垃圾的利用与处置规模。根据</w:t>
      </w:r>
      <w:r>
        <w:rPr>
          <w:rFonts w:hint="default" w:ascii="Times New Roman" w:hAnsi="Times New Roman" w:eastAsia="仿宋_GB2312" w:cs="Times New Roman"/>
          <w:bCs/>
          <w:color w:val="auto"/>
          <w:sz w:val="32"/>
          <w:szCs w:val="32"/>
          <w:highlight w:val="none"/>
          <w:u w:val="none"/>
          <w:lang w:val="en-US" w:eastAsia="zh-CN"/>
        </w:rPr>
        <w:t>融安县</w:t>
      </w:r>
      <w:r>
        <w:rPr>
          <w:rFonts w:hint="default" w:ascii="Times New Roman" w:hAnsi="Times New Roman" w:eastAsia="仿宋_GB2312" w:cs="Times New Roman"/>
          <w:color w:val="auto"/>
          <w:sz w:val="32"/>
          <w:szCs w:val="32"/>
          <w:highlight w:val="none"/>
          <w:u w:val="none"/>
        </w:rPr>
        <w:t>近远期产生的建筑垃圾预测量，结合相关政策文件要求，拟定建筑垃圾处置规模。</w:t>
      </w:r>
    </w:p>
    <w:p w14:paraId="52708CAE">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left="0" w:leftChars="0" w:firstLine="0" w:firstLineChars="0"/>
        <w:jc w:val="center"/>
        <w:textAlignment w:val="auto"/>
        <w:rPr>
          <w:rFonts w:hint="default" w:ascii="Times New Roman" w:hAnsi="Times New Roman" w:eastAsia="仿宋_GB2312" w:cs="Times New Roman"/>
          <w:bCs/>
          <w:sz w:val="32"/>
          <w:szCs w:val="32"/>
          <w:highlight w:val="none"/>
          <w:lang w:eastAsia="zh-CN"/>
        </w:rPr>
      </w:pPr>
    </w:p>
    <w:p w14:paraId="153EFF8A">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left="0" w:leftChars="0" w:firstLine="0" w:firstLineChars="0"/>
        <w:jc w:val="center"/>
        <w:textAlignment w:val="auto"/>
        <w:rPr>
          <w:rFonts w:hint="default" w:ascii="Times New Roman" w:hAnsi="Times New Roman" w:eastAsia="仿宋_GB2312" w:cs="Times New Roman"/>
          <w:bCs/>
          <w:sz w:val="32"/>
          <w:szCs w:val="32"/>
          <w:highlight w:val="none"/>
          <w:lang w:eastAsia="zh-CN"/>
        </w:rPr>
      </w:pPr>
      <w:r>
        <w:rPr>
          <w:rFonts w:hint="default" w:ascii="Times New Roman" w:hAnsi="Times New Roman" w:eastAsia="仿宋_GB2312" w:cs="Times New Roman"/>
          <w:bCs/>
          <w:sz w:val="32"/>
          <w:szCs w:val="32"/>
          <w:highlight w:val="none"/>
          <w:lang w:eastAsia="zh-CN"/>
        </w:rPr>
        <w:t>表：</w:t>
      </w:r>
      <w:r>
        <w:rPr>
          <w:rFonts w:hint="eastAsia" w:ascii="Times New Roman" w:hAnsi="Times New Roman" w:eastAsia="仿宋_GB2312" w:cs="Times New Roman"/>
          <w:bCs/>
          <w:sz w:val="32"/>
          <w:szCs w:val="32"/>
          <w:highlight w:val="none"/>
          <w:lang w:val="en-US" w:eastAsia="zh-CN"/>
        </w:rPr>
        <w:t>融安县</w:t>
      </w:r>
      <w:r>
        <w:rPr>
          <w:rFonts w:hint="default" w:ascii="Times New Roman" w:hAnsi="Times New Roman" w:eastAsia="仿宋_GB2312" w:cs="Times New Roman"/>
          <w:bCs/>
          <w:sz w:val="32"/>
          <w:szCs w:val="32"/>
          <w:highlight w:val="none"/>
          <w:lang w:eastAsia="zh-CN"/>
        </w:rPr>
        <w:t>规划近期（2024</w:t>
      </w:r>
      <w:r>
        <w:rPr>
          <w:rFonts w:hint="eastAsia" w:ascii="Times New Roman" w:hAnsi="Times New Roman" w:eastAsia="仿宋_GB2312" w:cs="Times New Roman"/>
          <w:bCs/>
          <w:sz w:val="32"/>
          <w:szCs w:val="32"/>
          <w:highlight w:val="none"/>
          <w:lang w:eastAsia="zh-CN"/>
        </w:rPr>
        <w:t>—</w:t>
      </w:r>
      <w:r>
        <w:rPr>
          <w:rFonts w:hint="default" w:ascii="Times New Roman" w:hAnsi="Times New Roman" w:eastAsia="仿宋_GB2312" w:cs="Times New Roman"/>
          <w:bCs/>
          <w:sz w:val="32"/>
          <w:szCs w:val="32"/>
          <w:highlight w:val="none"/>
          <w:lang w:eastAsia="zh-CN"/>
        </w:rPr>
        <w:t>2030年）建筑垃圾</w:t>
      </w:r>
    </w:p>
    <w:p w14:paraId="40DEF681">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left="0" w:leftChars="0" w:firstLine="0" w:firstLineChars="0"/>
        <w:jc w:val="center"/>
        <w:textAlignment w:val="auto"/>
        <w:rPr>
          <w:rFonts w:hint="default" w:ascii="Times New Roman" w:hAnsi="Times New Roman" w:cs="Times New Roman"/>
          <w:bCs/>
          <w:sz w:val="32"/>
          <w:szCs w:val="32"/>
          <w:highlight w:val="none"/>
          <w:lang w:eastAsia="zh-CN"/>
        </w:rPr>
      </w:pPr>
      <w:r>
        <w:rPr>
          <w:rFonts w:hint="default" w:ascii="Times New Roman" w:hAnsi="Times New Roman" w:eastAsia="仿宋_GB2312" w:cs="Times New Roman"/>
          <w:bCs/>
          <w:sz w:val="32"/>
          <w:szCs w:val="32"/>
          <w:highlight w:val="none"/>
          <w:lang w:eastAsia="zh-CN"/>
        </w:rPr>
        <w:t>产生量与处理量预测表</w:t>
      </w:r>
    </w:p>
    <w:tbl>
      <w:tblPr>
        <w:tblStyle w:val="16"/>
        <w:tblW w:w="7861"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2071"/>
        <w:gridCol w:w="1125"/>
        <w:gridCol w:w="1470"/>
        <w:gridCol w:w="1875"/>
        <w:gridCol w:w="1320"/>
      </w:tblGrid>
      <w:tr w14:paraId="227FD6E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754" w:hRule="atLeast"/>
          <w:tblHeader/>
          <w:jc w:val="center"/>
        </w:trPr>
        <w:tc>
          <w:tcPr>
            <w:tcW w:w="2071" w:type="dxa"/>
            <w:tcBorders>
              <w:top w:val="single" w:color="000000" w:sz="8" w:space="0"/>
              <w:left w:val="single" w:color="000000" w:sz="8" w:space="0"/>
              <w:bottom w:val="single" w:color="000000" w:sz="8" w:space="0"/>
              <w:right w:val="single" w:color="auto" w:sz="4" w:space="0"/>
            </w:tcBorders>
            <w:shd w:val="clear" w:color="auto" w:fill="auto"/>
            <w:tcMar>
              <w:top w:w="15" w:type="dxa"/>
              <w:left w:w="15" w:type="dxa"/>
              <w:right w:w="15" w:type="dxa"/>
            </w:tcMar>
            <w:vAlign w:val="center"/>
          </w:tcPr>
          <w:p w14:paraId="1717D08C">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黑体" w:hAnsi="黑体" w:eastAsia="黑体" w:cs="黑体"/>
                <w:sz w:val="24"/>
                <w:szCs w:val="24"/>
                <w:highlight w:val="none"/>
                <w:vertAlign w:val="baseline"/>
                <w:lang w:val="en-US" w:eastAsia="zh-CN"/>
              </w:rPr>
            </w:pPr>
            <w:r>
              <w:rPr>
                <w:rFonts w:hint="eastAsia" w:ascii="黑体" w:hAnsi="黑体" w:eastAsia="黑体" w:cs="黑体"/>
                <w:sz w:val="24"/>
                <w:szCs w:val="24"/>
                <w:highlight w:val="none"/>
                <w:vertAlign w:val="baseline"/>
                <w:lang w:val="en-US" w:eastAsia="zh-CN"/>
              </w:rPr>
              <w:t>建筑垃圾类别</w:t>
            </w:r>
          </w:p>
        </w:tc>
        <w:tc>
          <w:tcPr>
            <w:tcW w:w="1125" w:type="dxa"/>
            <w:tcBorders>
              <w:top w:val="single" w:color="auto" w:sz="4" w:space="0"/>
              <w:left w:val="single" w:color="auto" w:sz="4" w:space="0"/>
              <w:bottom w:val="single" w:color="auto" w:sz="4" w:space="0"/>
              <w:right w:val="single" w:color="000000" w:sz="8" w:space="0"/>
            </w:tcBorders>
            <w:shd w:val="clear" w:color="auto" w:fill="auto"/>
            <w:tcMar>
              <w:top w:w="15" w:type="dxa"/>
              <w:left w:w="15" w:type="dxa"/>
              <w:right w:w="15" w:type="dxa"/>
            </w:tcMar>
            <w:vAlign w:val="center"/>
          </w:tcPr>
          <w:p w14:paraId="17B0784D">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黑体" w:hAnsi="黑体" w:eastAsia="黑体" w:cs="黑体"/>
                <w:sz w:val="24"/>
                <w:szCs w:val="24"/>
                <w:highlight w:val="none"/>
                <w:vertAlign w:val="baseline"/>
                <w:lang w:val="en-US" w:eastAsia="zh-CN"/>
              </w:rPr>
            </w:pPr>
            <w:r>
              <w:rPr>
                <w:rFonts w:hint="eastAsia" w:ascii="黑体" w:hAnsi="黑体" w:eastAsia="黑体" w:cs="黑体"/>
                <w:sz w:val="24"/>
                <w:szCs w:val="24"/>
                <w:highlight w:val="none"/>
                <w:vertAlign w:val="baseline"/>
                <w:lang w:val="en-US" w:eastAsia="zh-CN"/>
              </w:rPr>
              <w:t>产生量</w:t>
            </w:r>
          </w:p>
          <w:p w14:paraId="4C9944DF">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黑体" w:hAnsi="黑体" w:eastAsia="黑体" w:cs="黑体"/>
                <w:sz w:val="24"/>
                <w:szCs w:val="24"/>
                <w:highlight w:val="none"/>
                <w:vertAlign w:val="baseline"/>
                <w:lang w:val="en-US" w:eastAsia="zh-CN"/>
              </w:rPr>
            </w:pPr>
            <w:r>
              <w:rPr>
                <w:rFonts w:hint="eastAsia" w:ascii="黑体" w:hAnsi="黑体" w:eastAsia="黑体" w:cs="黑体"/>
                <w:sz w:val="24"/>
                <w:szCs w:val="24"/>
                <w:highlight w:val="none"/>
                <w:vertAlign w:val="baseline"/>
                <w:lang w:val="en-US" w:eastAsia="zh-CN"/>
              </w:rPr>
              <w:t>（万吨）</w:t>
            </w:r>
          </w:p>
        </w:tc>
        <w:tc>
          <w:tcPr>
            <w:tcW w:w="1470" w:type="dxa"/>
            <w:tcBorders>
              <w:top w:val="single" w:color="auto" w:sz="4" w:space="0"/>
              <w:left w:val="single" w:color="000000" w:sz="8" w:space="0"/>
              <w:bottom w:val="single" w:color="auto" w:sz="4" w:space="0"/>
              <w:right w:val="single" w:color="000000" w:sz="8" w:space="0"/>
            </w:tcBorders>
            <w:shd w:val="clear" w:color="auto" w:fill="auto"/>
            <w:tcMar>
              <w:top w:w="15" w:type="dxa"/>
              <w:left w:w="15" w:type="dxa"/>
              <w:right w:w="15" w:type="dxa"/>
            </w:tcMar>
            <w:vAlign w:val="center"/>
          </w:tcPr>
          <w:p w14:paraId="67C8CFE1">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黑体" w:hAnsi="黑体" w:eastAsia="黑体" w:cs="黑体"/>
                <w:sz w:val="24"/>
                <w:szCs w:val="24"/>
                <w:highlight w:val="none"/>
                <w:vertAlign w:val="baseline"/>
                <w:lang w:val="en-US" w:eastAsia="zh-CN"/>
              </w:rPr>
            </w:pPr>
            <w:r>
              <w:rPr>
                <w:rFonts w:hint="eastAsia" w:ascii="黑体" w:hAnsi="黑体" w:eastAsia="黑体" w:cs="黑体"/>
                <w:sz w:val="24"/>
                <w:szCs w:val="24"/>
                <w:highlight w:val="none"/>
                <w:vertAlign w:val="baseline"/>
                <w:lang w:val="en-US" w:eastAsia="zh-CN"/>
              </w:rPr>
              <w:t>直接利用量</w:t>
            </w:r>
          </w:p>
          <w:p w14:paraId="1C200129">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黑体" w:hAnsi="黑体" w:eastAsia="黑体" w:cs="黑体"/>
                <w:sz w:val="24"/>
                <w:szCs w:val="24"/>
                <w:highlight w:val="none"/>
                <w:vertAlign w:val="baseline"/>
                <w:lang w:val="en-US" w:eastAsia="zh-CN"/>
              </w:rPr>
            </w:pPr>
            <w:r>
              <w:rPr>
                <w:rFonts w:hint="eastAsia" w:ascii="黑体" w:hAnsi="黑体" w:eastAsia="黑体" w:cs="黑体"/>
                <w:sz w:val="24"/>
                <w:szCs w:val="24"/>
                <w:highlight w:val="none"/>
                <w:vertAlign w:val="baseline"/>
                <w:lang w:val="en-US" w:eastAsia="zh-CN"/>
              </w:rPr>
              <w:t>（万吨）</w:t>
            </w:r>
          </w:p>
        </w:tc>
        <w:tc>
          <w:tcPr>
            <w:tcW w:w="1875" w:type="dxa"/>
            <w:tcBorders>
              <w:top w:val="single" w:color="auto" w:sz="4" w:space="0"/>
              <w:left w:val="single" w:color="000000" w:sz="8" w:space="0"/>
              <w:bottom w:val="single" w:color="auto" w:sz="4" w:space="0"/>
              <w:right w:val="single" w:color="auto" w:sz="4" w:space="0"/>
            </w:tcBorders>
            <w:shd w:val="clear" w:color="auto" w:fill="auto"/>
            <w:tcMar>
              <w:top w:w="15" w:type="dxa"/>
              <w:left w:w="15" w:type="dxa"/>
              <w:right w:w="15" w:type="dxa"/>
            </w:tcMar>
            <w:vAlign w:val="center"/>
          </w:tcPr>
          <w:p w14:paraId="7A0F906E">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黑体" w:hAnsi="黑体" w:eastAsia="黑体" w:cs="黑体"/>
                <w:sz w:val="24"/>
                <w:szCs w:val="24"/>
                <w:highlight w:val="none"/>
                <w:vertAlign w:val="baseline"/>
                <w:lang w:val="en-US" w:eastAsia="zh-CN"/>
              </w:rPr>
            </w:pPr>
            <w:r>
              <w:rPr>
                <w:rFonts w:hint="eastAsia" w:ascii="黑体" w:hAnsi="黑体" w:eastAsia="黑体" w:cs="黑体"/>
                <w:sz w:val="24"/>
                <w:szCs w:val="24"/>
                <w:highlight w:val="none"/>
                <w:vertAlign w:val="baseline"/>
                <w:lang w:val="en-US" w:eastAsia="zh-CN"/>
              </w:rPr>
              <w:t>资源化利用量</w:t>
            </w:r>
          </w:p>
          <w:p w14:paraId="5E8838A3">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黑体" w:hAnsi="黑体" w:eastAsia="黑体" w:cs="黑体"/>
                <w:sz w:val="24"/>
                <w:szCs w:val="24"/>
                <w:highlight w:val="none"/>
                <w:vertAlign w:val="baseline"/>
                <w:lang w:val="en-US" w:eastAsia="zh-CN"/>
              </w:rPr>
            </w:pPr>
            <w:r>
              <w:rPr>
                <w:rFonts w:hint="eastAsia" w:ascii="黑体" w:hAnsi="黑体" w:eastAsia="黑体" w:cs="黑体"/>
                <w:sz w:val="24"/>
                <w:szCs w:val="24"/>
                <w:highlight w:val="none"/>
                <w:vertAlign w:val="baseline"/>
                <w:lang w:val="en-US" w:eastAsia="zh-CN"/>
              </w:rPr>
              <w:t>（万吨）</w:t>
            </w:r>
          </w:p>
        </w:tc>
        <w:tc>
          <w:tcPr>
            <w:tcW w:w="1320" w:type="dxa"/>
            <w:tcBorders>
              <w:top w:val="single" w:color="000000" w:sz="8" w:space="0"/>
              <w:left w:val="single" w:color="auto" w:sz="4" w:space="0"/>
              <w:bottom w:val="single" w:color="000000" w:sz="8" w:space="0"/>
              <w:right w:val="single" w:color="000000" w:sz="8" w:space="0"/>
            </w:tcBorders>
            <w:shd w:val="clear" w:color="auto" w:fill="auto"/>
            <w:tcMar>
              <w:top w:w="15" w:type="dxa"/>
              <w:left w:w="15" w:type="dxa"/>
              <w:right w:w="15" w:type="dxa"/>
            </w:tcMar>
            <w:vAlign w:val="center"/>
          </w:tcPr>
          <w:p w14:paraId="641C0C10">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黑体" w:hAnsi="黑体" w:eastAsia="黑体" w:cs="黑体"/>
                <w:sz w:val="24"/>
                <w:szCs w:val="24"/>
                <w:highlight w:val="none"/>
                <w:vertAlign w:val="baseline"/>
                <w:lang w:val="en-US" w:eastAsia="zh-CN"/>
              </w:rPr>
            </w:pPr>
            <w:r>
              <w:rPr>
                <w:rFonts w:hint="eastAsia" w:ascii="黑体" w:hAnsi="黑体" w:eastAsia="黑体" w:cs="黑体"/>
                <w:sz w:val="24"/>
                <w:szCs w:val="24"/>
                <w:highlight w:val="none"/>
                <w:vertAlign w:val="baseline"/>
                <w:lang w:val="en-US" w:eastAsia="zh-CN"/>
              </w:rPr>
              <w:t>处置量</w:t>
            </w:r>
          </w:p>
          <w:p w14:paraId="2A2A3753">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黑体" w:hAnsi="黑体" w:eastAsia="黑体" w:cs="黑体"/>
                <w:sz w:val="24"/>
                <w:szCs w:val="24"/>
                <w:highlight w:val="none"/>
                <w:vertAlign w:val="baseline"/>
                <w:lang w:val="en-US" w:eastAsia="zh-CN"/>
              </w:rPr>
            </w:pPr>
            <w:r>
              <w:rPr>
                <w:rFonts w:hint="eastAsia" w:ascii="黑体" w:hAnsi="黑体" w:eastAsia="黑体" w:cs="黑体"/>
                <w:sz w:val="24"/>
                <w:szCs w:val="24"/>
                <w:highlight w:val="none"/>
                <w:vertAlign w:val="baseline"/>
                <w:lang w:val="en-US" w:eastAsia="zh-CN"/>
              </w:rPr>
              <w:t>（万吨）</w:t>
            </w:r>
          </w:p>
        </w:tc>
      </w:tr>
      <w:tr w14:paraId="28CF6B0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16" w:hRule="atLeast"/>
          <w:jc w:val="center"/>
        </w:trPr>
        <w:tc>
          <w:tcPr>
            <w:tcW w:w="2071"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14:paraId="63BE325F">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工程渣土</w:t>
            </w:r>
          </w:p>
        </w:tc>
        <w:tc>
          <w:tcPr>
            <w:tcW w:w="1125" w:type="dxa"/>
            <w:tcBorders>
              <w:top w:val="single" w:color="auto" w:sz="4"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14:paraId="6E1B34DE">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 xml:space="preserve">290.6 </w:t>
            </w:r>
          </w:p>
        </w:tc>
        <w:tc>
          <w:tcPr>
            <w:tcW w:w="1470" w:type="dxa"/>
            <w:tcBorders>
              <w:top w:val="single" w:color="auto" w:sz="4"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14:paraId="096B5748">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 xml:space="preserve">174.4 </w:t>
            </w:r>
          </w:p>
        </w:tc>
        <w:tc>
          <w:tcPr>
            <w:tcW w:w="1875" w:type="dxa"/>
            <w:tcBorders>
              <w:top w:val="single" w:color="auto" w:sz="4"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14:paraId="0F20FD03">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 xml:space="preserve">58.1 </w:t>
            </w:r>
          </w:p>
        </w:tc>
        <w:tc>
          <w:tcPr>
            <w:tcW w:w="1320"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14:paraId="467CF965">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 xml:space="preserve">58.1 </w:t>
            </w:r>
          </w:p>
        </w:tc>
      </w:tr>
      <w:tr w14:paraId="317A4DD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16" w:hRule="atLeast"/>
          <w:jc w:val="center"/>
        </w:trPr>
        <w:tc>
          <w:tcPr>
            <w:tcW w:w="2071"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14:paraId="20D033F2">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工程泥浆</w:t>
            </w:r>
          </w:p>
        </w:tc>
        <w:tc>
          <w:tcPr>
            <w:tcW w:w="1125"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14:paraId="11F7FAD3">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 xml:space="preserve">6.7 </w:t>
            </w:r>
          </w:p>
        </w:tc>
        <w:tc>
          <w:tcPr>
            <w:tcW w:w="1470"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14:paraId="7CD28BA0">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 xml:space="preserve">0.0 </w:t>
            </w:r>
          </w:p>
        </w:tc>
        <w:tc>
          <w:tcPr>
            <w:tcW w:w="1875"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14:paraId="7A780AC4">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 xml:space="preserve">0.7 </w:t>
            </w:r>
          </w:p>
        </w:tc>
        <w:tc>
          <w:tcPr>
            <w:tcW w:w="1320"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14:paraId="00340798">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 xml:space="preserve">6.0 </w:t>
            </w:r>
          </w:p>
        </w:tc>
      </w:tr>
      <w:tr w14:paraId="532EB94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16" w:hRule="atLeast"/>
          <w:jc w:val="center"/>
        </w:trPr>
        <w:tc>
          <w:tcPr>
            <w:tcW w:w="2071"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14:paraId="5BDDA39C">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工程垃圾</w:t>
            </w:r>
          </w:p>
        </w:tc>
        <w:tc>
          <w:tcPr>
            <w:tcW w:w="1125"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14:paraId="59EA1781">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 xml:space="preserve">6.7 </w:t>
            </w:r>
          </w:p>
        </w:tc>
        <w:tc>
          <w:tcPr>
            <w:tcW w:w="1470"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14:paraId="286AE2FE">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 xml:space="preserve">0.7 </w:t>
            </w:r>
          </w:p>
        </w:tc>
        <w:tc>
          <w:tcPr>
            <w:tcW w:w="1875"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14:paraId="1F2B301E">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 xml:space="preserve">4.7 </w:t>
            </w:r>
          </w:p>
        </w:tc>
        <w:tc>
          <w:tcPr>
            <w:tcW w:w="1320"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14:paraId="6F88D1B2">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 xml:space="preserve">1.3 </w:t>
            </w:r>
          </w:p>
        </w:tc>
      </w:tr>
      <w:tr w14:paraId="7DA358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16" w:hRule="atLeast"/>
          <w:jc w:val="center"/>
        </w:trPr>
        <w:tc>
          <w:tcPr>
            <w:tcW w:w="2071"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14:paraId="65F16673">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拆除垃圾</w:t>
            </w:r>
          </w:p>
        </w:tc>
        <w:tc>
          <w:tcPr>
            <w:tcW w:w="1125"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14:paraId="676093FF">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 xml:space="preserve">26.8 </w:t>
            </w:r>
          </w:p>
        </w:tc>
        <w:tc>
          <w:tcPr>
            <w:tcW w:w="1470"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14:paraId="6CF8A99A">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 xml:space="preserve">2.7 </w:t>
            </w:r>
          </w:p>
        </w:tc>
        <w:tc>
          <w:tcPr>
            <w:tcW w:w="1875"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14:paraId="47D25E82">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 xml:space="preserve">18.8 </w:t>
            </w:r>
          </w:p>
        </w:tc>
        <w:tc>
          <w:tcPr>
            <w:tcW w:w="1320"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14:paraId="059753AC">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 xml:space="preserve">5.4 </w:t>
            </w:r>
          </w:p>
        </w:tc>
      </w:tr>
      <w:tr w14:paraId="37965B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16" w:hRule="atLeast"/>
          <w:jc w:val="center"/>
        </w:trPr>
        <w:tc>
          <w:tcPr>
            <w:tcW w:w="2071"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14:paraId="40AC9A56">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装修垃圾</w:t>
            </w:r>
          </w:p>
        </w:tc>
        <w:tc>
          <w:tcPr>
            <w:tcW w:w="1125"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14:paraId="3995AD61">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 xml:space="preserve">22.6 </w:t>
            </w:r>
          </w:p>
        </w:tc>
        <w:tc>
          <w:tcPr>
            <w:tcW w:w="1470"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14:paraId="5948E05E">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 xml:space="preserve">2.3 </w:t>
            </w:r>
          </w:p>
        </w:tc>
        <w:tc>
          <w:tcPr>
            <w:tcW w:w="1875"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14:paraId="1837C9A5">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 xml:space="preserve">11.3 </w:t>
            </w:r>
          </w:p>
        </w:tc>
        <w:tc>
          <w:tcPr>
            <w:tcW w:w="1320"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14:paraId="4D98170F">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 xml:space="preserve">9.0 </w:t>
            </w:r>
          </w:p>
        </w:tc>
      </w:tr>
      <w:tr w14:paraId="3E2CD5D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16" w:hRule="atLeast"/>
          <w:jc w:val="center"/>
        </w:trPr>
        <w:tc>
          <w:tcPr>
            <w:tcW w:w="2071"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14:paraId="69557BEC">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总量</w:t>
            </w:r>
          </w:p>
        </w:tc>
        <w:tc>
          <w:tcPr>
            <w:tcW w:w="1125"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14:paraId="63BEB8A3">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 xml:space="preserve">353.4 </w:t>
            </w:r>
          </w:p>
        </w:tc>
        <w:tc>
          <w:tcPr>
            <w:tcW w:w="1470"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14:paraId="24AA4BFB">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 xml:space="preserve">180.0 </w:t>
            </w:r>
          </w:p>
        </w:tc>
        <w:tc>
          <w:tcPr>
            <w:tcW w:w="1875"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14:paraId="360B3B58">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 xml:space="preserve">93.6 </w:t>
            </w:r>
          </w:p>
        </w:tc>
        <w:tc>
          <w:tcPr>
            <w:tcW w:w="1320"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14:paraId="0C2D6B81">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 xml:space="preserve">79.9 </w:t>
            </w:r>
          </w:p>
        </w:tc>
      </w:tr>
      <w:tr w14:paraId="72CD2B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6" w:hRule="atLeast"/>
          <w:jc w:val="center"/>
        </w:trPr>
        <w:tc>
          <w:tcPr>
            <w:tcW w:w="2071"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14:paraId="2B9B97AD">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年平均值（万吨/年）</w:t>
            </w:r>
          </w:p>
        </w:tc>
        <w:tc>
          <w:tcPr>
            <w:tcW w:w="1125"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14:paraId="7F603ECB">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 xml:space="preserve">58.9 </w:t>
            </w:r>
          </w:p>
        </w:tc>
        <w:tc>
          <w:tcPr>
            <w:tcW w:w="1470"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14:paraId="5F8A7267">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 xml:space="preserve">30.0 </w:t>
            </w:r>
          </w:p>
        </w:tc>
        <w:tc>
          <w:tcPr>
            <w:tcW w:w="1875"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14:paraId="5FA3AB8D">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 xml:space="preserve">15.6 </w:t>
            </w:r>
          </w:p>
        </w:tc>
        <w:tc>
          <w:tcPr>
            <w:tcW w:w="1320"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14:paraId="49D12DF9">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 xml:space="preserve">13.3 </w:t>
            </w:r>
          </w:p>
        </w:tc>
      </w:tr>
    </w:tbl>
    <w:p w14:paraId="5B9DED9D">
      <w:pPr>
        <w:pageBreakBefore w:val="0"/>
        <w:kinsoku/>
        <w:wordWrap/>
        <w:topLinePunct w:val="0"/>
        <w:bidi w:val="0"/>
        <w:spacing w:beforeAutospacing="0" w:afterAutospacing="0" w:line="560" w:lineRule="exact"/>
        <w:ind w:left="0" w:leftChars="0"/>
        <w:jc w:val="center"/>
        <w:rPr>
          <w:rFonts w:hint="eastAsia"/>
          <w:bCs/>
          <w:szCs w:val="32"/>
          <w:highlight w:val="none"/>
          <w:lang w:eastAsia="zh-CN"/>
        </w:rPr>
      </w:pPr>
    </w:p>
    <w:p w14:paraId="037080FB">
      <w:pPr>
        <w:pageBreakBefore w:val="0"/>
        <w:kinsoku/>
        <w:wordWrap/>
        <w:topLinePunct w:val="0"/>
        <w:bidi w:val="0"/>
        <w:spacing w:beforeAutospacing="0" w:afterAutospacing="0" w:line="560" w:lineRule="exact"/>
        <w:ind w:left="0" w:leftChars="0" w:firstLine="0" w:firstLineChars="0"/>
        <w:jc w:val="center"/>
        <w:rPr>
          <w:rFonts w:hint="eastAsia" w:ascii="Times New Roman" w:hAnsi="Times New Roman" w:eastAsia="仿宋_GB2312" w:cs="Times New Roman"/>
          <w:bCs/>
          <w:sz w:val="32"/>
          <w:szCs w:val="32"/>
          <w:highlight w:val="none"/>
          <w:lang w:eastAsia="zh-CN"/>
        </w:rPr>
      </w:pPr>
      <w:r>
        <w:rPr>
          <w:rFonts w:hint="eastAsia" w:ascii="Times New Roman" w:hAnsi="Times New Roman" w:eastAsia="仿宋_GB2312" w:cs="Times New Roman"/>
          <w:bCs/>
          <w:sz w:val="32"/>
          <w:szCs w:val="32"/>
          <w:highlight w:val="none"/>
          <w:lang w:eastAsia="zh-CN"/>
        </w:rPr>
        <w:t>表：规划远期（</w:t>
      </w:r>
      <w:r>
        <w:rPr>
          <w:rFonts w:hint="default" w:ascii="Times New Roman" w:hAnsi="Times New Roman" w:eastAsia="仿宋_GB2312" w:cs="Times New Roman"/>
          <w:bCs/>
          <w:sz w:val="32"/>
          <w:szCs w:val="32"/>
          <w:highlight w:val="none"/>
          <w:lang w:eastAsia="zh-CN"/>
        </w:rPr>
        <w:t>2031</w:t>
      </w:r>
      <w:r>
        <w:rPr>
          <w:rFonts w:hint="eastAsia" w:eastAsia="仿宋_GB2312" w:cs="Times New Roman"/>
          <w:bCs/>
          <w:sz w:val="32"/>
          <w:szCs w:val="32"/>
          <w:highlight w:val="none"/>
          <w:lang w:eastAsia="zh-CN"/>
        </w:rPr>
        <w:t>—</w:t>
      </w:r>
      <w:r>
        <w:rPr>
          <w:rFonts w:hint="default" w:ascii="Times New Roman" w:hAnsi="Times New Roman" w:eastAsia="仿宋_GB2312" w:cs="Times New Roman"/>
          <w:bCs/>
          <w:sz w:val="32"/>
          <w:szCs w:val="32"/>
          <w:highlight w:val="none"/>
          <w:lang w:eastAsia="zh-CN"/>
        </w:rPr>
        <w:t>2035</w:t>
      </w:r>
      <w:r>
        <w:rPr>
          <w:rFonts w:hint="eastAsia" w:ascii="Times New Roman" w:hAnsi="Times New Roman" w:eastAsia="仿宋_GB2312" w:cs="Times New Roman"/>
          <w:bCs/>
          <w:sz w:val="32"/>
          <w:szCs w:val="32"/>
          <w:highlight w:val="none"/>
          <w:lang w:eastAsia="zh-CN"/>
        </w:rPr>
        <w:t>年）建筑垃圾</w:t>
      </w:r>
    </w:p>
    <w:p w14:paraId="36B7DE34">
      <w:pPr>
        <w:pageBreakBefore w:val="0"/>
        <w:kinsoku/>
        <w:wordWrap/>
        <w:topLinePunct w:val="0"/>
        <w:bidi w:val="0"/>
        <w:spacing w:beforeAutospacing="0" w:afterAutospacing="0" w:line="560" w:lineRule="exact"/>
        <w:ind w:left="0" w:leftChars="0" w:firstLine="0" w:firstLineChars="0"/>
        <w:jc w:val="center"/>
        <w:rPr>
          <w:rFonts w:hint="eastAsia"/>
          <w:bCs/>
          <w:szCs w:val="32"/>
          <w:highlight w:val="none"/>
          <w:lang w:eastAsia="zh-CN"/>
        </w:rPr>
      </w:pPr>
      <w:r>
        <w:rPr>
          <w:rFonts w:hint="eastAsia" w:ascii="Times New Roman" w:hAnsi="Times New Roman" w:eastAsia="仿宋_GB2312" w:cs="Times New Roman"/>
          <w:bCs/>
          <w:sz w:val="32"/>
          <w:szCs w:val="32"/>
          <w:highlight w:val="none"/>
          <w:lang w:eastAsia="zh-CN"/>
        </w:rPr>
        <w:t>产生量与处理量预测表</w:t>
      </w:r>
    </w:p>
    <w:tbl>
      <w:tblPr>
        <w:tblStyle w:val="16"/>
        <w:tblW w:w="8236"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2206"/>
        <w:gridCol w:w="1720"/>
        <w:gridCol w:w="1460"/>
        <w:gridCol w:w="1620"/>
        <w:gridCol w:w="1230"/>
      </w:tblGrid>
      <w:tr w14:paraId="631F7F8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0" w:type="dxa"/>
            <w:bottom w:w="0" w:type="dxa"/>
            <w:right w:w="0" w:type="dxa"/>
          </w:tblCellMar>
        </w:tblPrEx>
        <w:trPr>
          <w:trHeight w:val="778" w:hRule="atLeast"/>
          <w:jc w:val="center"/>
        </w:trPr>
        <w:tc>
          <w:tcPr>
            <w:tcW w:w="2206" w:type="dxa"/>
            <w:tcBorders>
              <w:bottom w:val="single" w:color="000000" w:sz="8" w:space="0"/>
              <w:right w:val="single" w:color="auto" w:sz="4" w:space="0"/>
            </w:tcBorders>
            <w:shd w:val="clear" w:color="auto" w:fill="auto"/>
            <w:tcMar>
              <w:top w:w="15" w:type="dxa"/>
              <w:left w:w="15" w:type="dxa"/>
              <w:right w:w="15" w:type="dxa"/>
            </w:tcMar>
            <w:vAlign w:val="center"/>
          </w:tcPr>
          <w:p w14:paraId="5BEF94E7">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黑体" w:hAnsi="黑体" w:eastAsia="黑体" w:cs="黑体"/>
                <w:sz w:val="24"/>
                <w:szCs w:val="24"/>
                <w:highlight w:val="none"/>
                <w:vertAlign w:val="baseline"/>
                <w:lang w:val="en-US" w:eastAsia="zh-CN"/>
              </w:rPr>
            </w:pPr>
            <w:r>
              <w:rPr>
                <w:rFonts w:hint="eastAsia" w:ascii="黑体" w:hAnsi="黑体" w:eastAsia="黑体" w:cs="黑体"/>
                <w:sz w:val="24"/>
                <w:szCs w:val="24"/>
                <w:highlight w:val="none"/>
                <w:vertAlign w:val="baseline"/>
                <w:lang w:val="en-US" w:eastAsia="zh-CN"/>
              </w:rPr>
              <w:t>建筑垃圾类别</w:t>
            </w:r>
          </w:p>
        </w:tc>
        <w:tc>
          <w:tcPr>
            <w:tcW w:w="1720" w:type="dxa"/>
            <w:tcBorders>
              <w:left w:val="single" w:color="auto" w:sz="4" w:space="0"/>
              <w:bottom w:val="single" w:color="auto" w:sz="4" w:space="0"/>
              <w:right w:val="single" w:color="000000" w:sz="8" w:space="0"/>
            </w:tcBorders>
            <w:shd w:val="clear" w:color="auto" w:fill="auto"/>
            <w:tcMar>
              <w:top w:w="15" w:type="dxa"/>
              <w:left w:w="15" w:type="dxa"/>
              <w:right w:w="15" w:type="dxa"/>
            </w:tcMar>
            <w:vAlign w:val="center"/>
          </w:tcPr>
          <w:p w14:paraId="45E13A17">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黑体" w:hAnsi="黑体" w:eastAsia="黑体" w:cs="黑体"/>
                <w:sz w:val="24"/>
                <w:szCs w:val="24"/>
                <w:highlight w:val="none"/>
                <w:vertAlign w:val="baseline"/>
                <w:lang w:val="en-US" w:eastAsia="zh-CN"/>
              </w:rPr>
            </w:pPr>
            <w:r>
              <w:rPr>
                <w:rFonts w:hint="eastAsia" w:ascii="黑体" w:hAnsi="黑体" w:eastAsia="黑体" w:cs="黑体"/>
                <w:sz w:val="24"/>
                <w:szCs w:val="24"/>
                <w:highlight w:val="none"/>
                <w:vertAlign w:val="baseline"/>
                <w:lang w:val="en-US" w:eastAsia="zh-CN"/>
              </w:rPr>
              <w:t>产生量</w:t>
            </w:r>
          </w:p>
          <w:p w14:paraId="7AA9D348">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黑体" w:hAnsi="黑体" w:eastAsia="黑体" w:cs="黑体"/>
                <w:sz w:val="24"/>
                <w:szCs w:val="24"/>
                <w:highlight w:val="none"/>
                <w:vertAlign w:val="baseline"/>
                <w:lang w:val="en-US" w:eastAsia="zh-CN"/>
              </w:rPr>
            </w:pPr>
            <w:r>
              <w:rPr>
                <w:rFonts w:hint="eastAsia" w:ascii="黑体" w:hAnsi="黑体" w:eastAsia="黑体" w:cs="黑体"/>
                <w:sz w:val="24"/>
                <w:szCs w:val="24"/>
                <w:highlight w:val="none"/>
                <w:vertAlign w:val="baseline"/>
                <w:lang w:val="en-US" w:eastAsia="zh-CN"/>
              </w:rPr>
              <w:t>（万吨）</w:t>
            </w:r>
          </w:p>
        </w:tc>
        <w:tc>
          <w:tcPr>
            <w:tcW w:w="1460" w:type="dxa"/>
            <w:tcBorders>
              <w:left w:val="single" w:color="000000" w:sz="8" w:space="0"/>
              <w:bottom w:val="single" w:color="auto" w:sz="4" w:space="0"/>
              <w:right w:val="single" w:color="000000" w:sz="8" w:space="0"/>
            </w:tcBorders>
            <w:shd w:val="clear" w:color="auto" w:fill="auto"/>
            <w:tcMar>
              <w:top w:w="15" w:type="dxa"/>
              <w:left w:w="15" w:type="dxa"/>
              <w:right w:w="15" w:type="dxa"/>
            </w:tcMar>
            <w:vAlign w:val="center"/>
          </w:tcPr>
          <w:p w14:paraId="0EBF0DC7">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黑体" w:hAnsi="黑体" w:eastAsia="黑体" w:cs="黑体"/>
                <w:sz w:val="24"/>
                <w:szCs w:val="24"/>
                <w:highlight w:val="none"/>
                <w:vertAlign w:val="baseline"/>
                <w:lang w:val="en-US" w:eastAsia="zh-CN"/>
              </w:rPr>
            </w:pPr>
            <w:r>
              <w:rPr>
                <w:rFonts w:hint="eastAsia" w:ascii="黑体" w:hAnsi="黑体" w:eastAsia="黑体" w:cs="黑体"/>
                <w:sz w:val="24"/>
                <w:szCs w:val="24"/>
                <w:highlight w:val="none"/>
                <w:vertAlign w:val="baseline"/>
                <w:lang w:val="en-US" w:eastAsia="zh-CN"/>
              </w:rPr>
              <w:t>直接利用量</w:t>
            </w:r>
          </w:p>
          <w:p w14:paraId="0DFCAF62">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黑体" w:hAnsi="黑体" w:eastAsia="黑体" w:cs="黑体"/>
                <w:sz w:val="24"/>
                <w:szCs w:val="24"/>
                <w:highlight w:val="none"/>
                <w:vertAlign w:val="baseline"/>
                <w:lang w:val="en-US" w:eastAsia="zh-CN"/>
              </w:rPr>
            </w:pPr>
            <w:r>
              <w:rPr>
                <w:rFonts w:hint="eastAsia" w:ascii="黑体" w:hAnsi="黑体" w:eastAsia="黑体" w:cs="黑体"/>
                <w:sz w:val="24"/>
                <w:szCs w:val="24"/>
                <w:highlight w:val="none"/>
                <w:vertAlign w:val="baseline"/>
                <w:lang w:val="en-US" w:eastAsia="zh-CN"/>
              </w:rPr>
              <w:t>（万吨）</w:t>
            </w:r>
          </w:p>
        </w:tc>
        <w:tc>
          <w:tcPr>
            <w:tcW w:w="1620" w:type="dxa"/>
            <w:tcBorders>
              <w:left w:val="single" w:color="000000" w:sz="8" w:space="0"/>
              <w:bottom w:val="single" w:color="auto" w:sz="4" w:space="0"/>
              <w:right w:val="single" w:color="auto" w:sz="4" w:space="0"/>
            </w:tcBorders>
            <w:shd w:val="clear" w:color="auto" w:fill="auto"/>
            <w:tcMar>
              <w:top w:w="15" w:type="dxa"/>
              <w:left w:w="15" w:type="dxa"/>
              <w:right w:w="15" w:type="dxa"/>
            </w:tcMar>
            <w:vAlign w:val="center"/>
          </w:tcPr>
          <w:p w14:paraId="4E646DC7">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黑体" w:hAnsi="黑体" w:eastAsia="黑体" w:cs="黑体"/>
                <w:sz w:val="24"/>
                <w:szCs w:val="24"/>
                <w:highlight w:val="none"/>
                <w:vertAlign w:val="baseline"/>
                <w:lang w:val="en-US" w:eastAsia="zh-CN"/>
              </w:rPr>
            </w:pPr>
            <w:r>
              <w:rPr>
                <w:rFonts w:hint="eastAsia" w:ascii="黑体" w:hAnsi="黑体" w:eastAsia="黑体" w:cs="黑体"/>
                <w:sz w:val="24"/>
                <w:szCs w:val="24"/>
                <w:highlight w:val="none"/>
                <w:vertAlign w:val="baseline"/>
                <w:lang w:val="en-US" w:eastAsia="zh-CN"/>
              </w:rPr>
              <w:t>资源化利用量</w:t>
            </w:r>
          </w:p>
          <w:p w14:paraId="73222E14">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黑体" w:hAnsi="黑体" w:eastAsia="黑体" w:cs="黑体"/>
                <w:sz w:val="24"/>
                <w:szCs w:val="24"/>
                <w:highlight w:val="none"/>
                <w:vertAlign w:val="baseline"/>
                <w:lang w:val="en-US" w:eastAsia="zh-CN"/>
              </w:rPr>
            </w:pPr>
            <w:r>
              <w:rPr>
                <w:rFonts w:hint="eastAsia" w:ascii="黑体" w:hAnsi="黑体" w:eastAsia="黑体" w:cs="黑体"/>
                <w:sz w:val="24"/>
                <w:szCs w:val="24"/>
                <w:highlight w:val="none"/>
                <w:vertAlign w:val="baseline"/>
                <w:lang w:val="en-US" w:eastAsia="zh-CN"/>
              </w:rPr>
              <w:t>（万吨）</w:t>
            </w:r>
          </w:p>
        </w:tc>
        <w:tc>
          <w:tcPr>
            <w:tcW w:w="1230" w:type="dxa"/>
            <w:tcBorders>
              <w:left w:val="single" w:color="auto" w:sz="4" w:space="0"/>
              <w:bottom w:val="single" w:color="000000" w:sz="8" w:space="0"/>
            </w:tcBorders>
            <w:shd w:val="clear" w:color="auto" w:fill="auto"/>
            <w:tcMar>
              <w:top w:w="15" w:type="dxa"/>
              <w:left w:w="15" w:type="dxa"/>
              <w:right w:w="15" w:type="dxa"/>
            </w:tcMar>
            <w:vAlign w:val="center"/>
          </w:tcPr>
          <w:p w14:paraId="2E3BDC69">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黑体" w:hAnsi="黑体" w:eastAsia="黑体" w:cs="黑体"/>
                <w:sz w:val="24"/>
                <w:szCs w:val="24"/>
                <w:highlight w:val="none"/>
                <w:vertAlign w:val="baseline"/>
                <w:lang w:val="en-US" w:eastAsia="zh-CN"/>
              </w:rPr>
            </w:pPr>
            <w:r>
              <w:rPr>
                <w:rFonts w:hint="eastAsia" w:ascii="黑体" w:hAnsi="黑体" w:eastAsia="黑体" w:cs="黑体"/>
                <w:sz w:val="24"/>
                <w:szCs w:val="24"/>
                <w:highlight w:val="none"/>
                <w:vertAlign w:val="baseline"/>
                <w:lang w:val="en-US" w:eastAsia="zh-CN"/>
              </w:rPr>
              <w:t>处置量</w:t>
            </w:r>
          </w:p>
          <w:p w14:paraId="6C8D8DA5">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黑体" w:hAnsi="黑体" w:eastAsia="黑体" w:cs="黑体"/>
                <w:sz w:val="24"/>
                <w:szCs w:val="24"/>
                <w:highlight w:val="none"/>
                <w:vertAlign w:val="baseline"/>
                <w:lang w:val="en-US" w:eastAsia="zh-CN"/>
              </w:rPr>
            </w:pPr>
            <w:r>
              <w:rPr>
                <w:rFonts w:hint="eastAsia" w:ascii="黑体" w:hAnsi="黑体" w:eastAsia="黑体" w:cs="黑体"/>
                <w:sz w:val="24"/>
                <w:szCs w:val="24"/>
                <w:highlight w:val="none"/>
                <w:vertAlign w:val="baseline"/>
                <w:lang w:val="en-US" w:eastAsia="zh-CN"/>
              </w:rPr>
              <w:t>（万吨）</w:t>
            </w:r>
          </w:p>
        </w:tc>
      </w:tr>
      <w:tr w14:paraId="5834E31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0" w:type="dxa"/>
            <w:bottom w:w="0" w:type="dxa"/>
            <w:right w:w="0" w:type="dxa"/>
          </w:tblCellMar>
        </w:tblPrEx>
        <w:trPr>
          <w:trHeight w:val="512" w:hRule="atLeast"/>
          <w:jc w:val="center"/>
        </w:trPr>
        <w:tc>
          <w:tcPr>
            <w:tcW w:w="2206" w:type="dxa"/>
            <w:tcBorders>
              <w:top w:val="nil"/>
              <w:bottom w:val="single" w:color="000000" w:sz="8" w:space="0"/>
              <w:right w:val="single" w:color="000000" w:sz="8" w:space="0"/>
            </w:tcBorders>
            <w:shd w:val="clear" w:color="auto" w:fill="auto"/>
            <w:tcMar>
              <w:top w:w="15" w:type="dxa"/>
              <w:left w:w="15" w:type="dxa"/>
              <w:right w:w="15" w:type="dxa"/>
            </w:tcMar>
            <w:vAlign w:val="center"/>
          </w:tcPr>
          <w:p w14:paraId="12977792">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工程渣土</w:t>
            </w:r>
          </w:p>
        </w:tc>
        <w:tc>
          <w:tcPr>
            <w:tcW w:w="1720" w:type="dxa"/>
            <w:tcBorders>
              <w:top w:val="single" w:color="auto" w:sz="4"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14:paraId="40977C50">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 xml:space="preserve">152.2 </w:t>
            </w:r>
          </w:p>
        </w:tc>
        <w:tc>
          <w:tcPr>
            <w:tcW w:w="1460" w:type="dxa"/>
            <w:tcBorders>
              <w:top w:val="single" w:color="auto" w:sz="4"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14:paraId="68140486">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 xml:space="preserve">91.3 </w:t>
            </w:r>
          </w:p>
        </w:tc>
        <w:tc>
          <w:tcPr>
            <w:tcW w:w="1620" w:type="dxa"/>
            <w:tcBorders>
              <w:top w:val="single" w:color="auto" w:sz="4"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14:paraId="2E9534B3">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 xml:space="preserve">38.0 </w:t>
            </w:r>
          </w:p>
        </w:tc>
        <w:tc>
          <w:tcPr>
            <w:tcW w:w="1230" w:type="dxa"/>
            <w:tcBorders>
              <w:top w:val="nil"/>
              <w:left w:val="single" w:color="000000" w:sz="8" w:space="0"/>
              <w:bottom w:val="single" w:color="000000" w:sz="8" w:space="0"/>
            </w:tcBorders>
            <w:shd w:val="clear" w:color="auto" w:fill="auto"/>
            <w:tcMar>
              <w:top w:w="15" w:type="dxa"/>
              <w:left w:w="15" w:type="dxa"/>
              <w:right w:w="15" w:type="dxa"/>
            </w:tcMar>
            <w:vAlign w:val="center"/>
          </w:tcPr>
          <w:p w14:paraId="71547D44">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 xml:space="preserve">22.8 </w:t>
            </w:r>
          </w:p>
        </w:tc>
      </w:tr>
      <w:tr w14:paraId="1536BD9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0" w:type="dxa"/>
            <w:bottom w:w="0" w:type="dxa"/>
            <w:right w:w="0" w:type="dxa"/>
          </w:tblCellMar>
        </w:tblPrEx>
        <w:trPr>
          <w:trHeight w:val="512" w:hRule="atLeast"/>
          <w:jc w:val="center"/>
        </w:trPr>
        <w:tc>
          <w:tcPr>
            <w:tcW w:w="2206" w:type="dxa"/>
            <w:tcBorders>
              <w:top w:val="nil"/>
              <w:bottom w:val="single" w:color="auto" w:sz="4" w:space="0"/>
              <w:right w:val="single" w:color="000000" w:sz="8" w:space="0"/>
            </w:tcBorders>
            <w:shd w:val="clear" w:color="auto" w:fill="auto"/>
            <w:tcMar>
              <w:top w:w="15" w:type="dxa"/>
              <w:left w:w="15" w:type="dxa"/>
              <w:right w:w="15" w:type="dxa"/>
            </w:tcMar>
            <w:vAlign w:val="center"/>
          </w:tcPr>
          <w:p w14:paraId="08625AE2">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工程泥浆</w:t>
            </w:r>
          </w:p>
        </w:tc>
        <w:tc>
          <w:tcPr>
            <w:tcW w:w="1720" w:type="dxa"/>
            <w:tcBorders>
              <w:top w:val="nil"/>
              <w:left w:val="single" w:color="000000" w:sz="8" w:space="0"/>
              <w:bottom w:val="single" w:color="auto" w:sz="4" w:space="0"/>
              <w:right w:val="single" w:color="000000" w:sz="8" w:space="0"/>
            </w:tcBorders>
            <w:shd w:val="clear" w:color="auto" w:fill="auto"/>
            <w:tcMar>
              <w:top w:w="15" w:type="dxa"/>
              <w:left w:w="15" w:type="dxa"/>
              <w:right w:w="15" w:type="dxa"/>
            </w:tcMar>
            <w:vAlign w:val="center"/>
          </w:tcPr>
          <w:p w14:paraId="6B731716">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 xml:space="preserve">3.5 </w:t>
            </w:r>
          </w:p>
        </w:tc>
        <w:tc>
          <w:tcPr>
            <w:tcW w:w="1460" w:type="dxa"/>
            <w:tcBorders>
              <w:top w:val="nil"/>
              <w:left w:val="single" w:color="000000" w:sz="8" w:space="0"/>
              <w:bottom w:val="single" w:color="auto" w:sz="4" w:space="0"/>
              <w:right w:val="single" w:color="000000" w:sz="8" w:space="0"/>
            </w:tcBorders>
            <w:shd w:val="clear" w:color="auto" w:fill="auto"/>
            <w:tcMar>
              <w:top w:w="15" w:type="dxa"/>
              <w:left w:w="15" w:type="dxa"/>
              <w:right w:w="15" w:type="dxa"/>
            </w:tcMar>
            <w:vAlign w:val="center"/>
          </w:tcPr>
          <w:p w14:paraId="59A8BBF3">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 xml:space="preserve">0.0 </w:t>
            </w:r>
          </w:p>
        </w:tc>
        <w:tc>
          <w:tcPr>
            <w:tcW w:w="1620" w:type="dxa"/>
            <w:tcBorders>
              <w:top w:val="nil"/>
              <w:left w:val="single" w:color="000000" w:sz="8" w:space="0"/>
              <w:bottom w:val="single" w:color="auto" w:sz="4" w:space="0"/>
              <w:right w:val="single" w:color="000000" w:sz="8" w:space="0"/>
            </w:tcBorders>
            <w:shd w:val="clear" w:color="auto" w:fill="auto"/>
            <w:tcMar>
              <w:top w:w="15" w:type="dxa"/>
              <w:left w:w="15" w:type="dxa"/>
              <w:right w:w="15" w:type="dxa"/>
            </w:tcMar>
            <w:vAlign w:val="center"/>
          </w:tcPr>
          <w:p w14:paraId="4CBF29A4">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 xml:space="preserve">0.4 </w:t>
            </w:r>
          </w:p>
        </w:tc>
        <w:tc>
          <w:tcPr>
            <w:tcW w:w="1230" w:type="dxa"/>
            <w:tcBorders>
              <w:top w:val="nil"/>
              <w:left w:val="single" w:color="000000" w:sz="8" w:space="0"/>
              <w:bottom w:val="single" w:color="auto" w:sz="4" w:space="0"/>
            </w:tcBorders>
            <w:shd w:val="clear" w:color="auto" w:fill="auto"/>
            <w:tcMar>
              <w:top w:w="15" w:type="dxa"/>
              <w:left w:w="15" w:type="dxa"/>
              <w:right w:w="15" w:type="dxa"/>
            </w:tcMar>
            <w:vAlign w:val="center"/>
          </w:tcPr>
          <w:p w14:paraId="7326915D">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 xml:space="preserve">3.2 </w:t>
            </w:r>
          </w:p>
        </w:tc>
      </w:tr>
      <w:tr w14:paraId="677B9F2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0" w:type="dxa"/>
            <w:bottom w:w="0" w:type="dxa"/>
            <w:right w:w="0" w:type="dxa"/>
          </w:tblCellMar>
        </w:tblPrEx>
        <w:trPr>
          <w:trHeight w:val="512" w:hRule="atLeast"/>
          <w:jc w:val="center"/>
        </w:trPr>
        <w:tc>
          <w:tcPr>
            <w:tcW w:w="2206" w:type="dxa"/>
            <w:tcBorders>
              <w:top w:val="single" w:color="auto" w:sz="4" w:space="0"/>
              <w:bottom w:val="single" w:color="000000" w:sz="8" w:space="0"/>
              <w:right w:val="single" w:color="000000" w:sz="8" w:space="0"/>
            </w:tcBorders>
            <w:shd w:val="clear" w:color="auto" w:fill="auto"/>
            <w:tcMar>
              <w:top w:w="15" w:type="dxa"/>
              <w:left w:w="15" w:type="dxa"/>
              <w:right w:w="15" w:type="dxa"/>
            </w:tcMar>
            <w:vAlign w:val="center"/>
          </w:tcPr>
          <w:p w14:paraId="7DE88196">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工程垃圾</w:t>
            </w:r>
          </w:p>
        </w:tc>
        <w:tc>
          <w:tcPr>
            <w:tcW w:w="1720" w:type="dxa"/>
            <w:tcBorders>
              <w:top w:val="single" w:color="auto" w:sz="4"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14:paraId="6F39936F">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 xml:space="preserve">3.5 </w:t>
            </w:r>
          </w:p>
        </w:tc>
        <w:tc>
          <w:tcPr>
            <w:tcW w:w="1460" w:type="dxa"/>
            <w:tcBorders>
              <w:top w:val="single" w:color="auto" w:sz="4"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14:paraId="65228715">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 xml:space="preserve">0.4 </w:t>
            </w:r>
          </w:p>
        </w:tc>
        <w:tc>
          <w:tcPr>
            <w:tcW w:w="1620" w:type="dxa"/>
            <w:tcBorders>
              <w:top w:val="single" w:color="auto" w:sz="4"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14:paraId="18E4C58D">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 xml:space="preserve">2.8 </w:t>
            </w:r>
          </w:p>
        </w:tc>
        <w:tc>
          <w:tcPr>
            <w:tcW w:w="1230" w:type="dxa"/>
            <w:tcBorders>
              <w:top w:val="single" w:color="auto" w:sz="4" w:space="0"/>
              <w:left w:val="single" w:color="000000" w:sz="8" w:space="0"/>
              <w:bottom w:val="single" w:color="000000" w:sz="8" w:space="0"/>
            </w:tcBorders>
            <w:shd w:val="clear" w:color="auto" w:fill="auto"/>
            <w:tcMar>
              <w:top w:w="15" w:type="dxa"/>
              <w:left w:w="15" w:type="dxa"/>
              <w:right w:w="15" w:type="dxa"/>
            </w:tcMar>
            <w:vAlign w:val="center"/>
          </w:tcPr>
          <w:p w14:paraId="1CF82146">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 xml:space="preserve">0.4 </w:t>
            </w:r>
          </w:p>
        </w:tc>
      </w:tr>
      <w:tr w14:paraId="4D6009F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0" w:type="dxa"/>
            <w:bottom w:w="0" w:type="dxa"/>
            <w:right w:w="0" w:type="dxa"/>
          </w:tblCellMar>
        </w:tblPrEx>
        <w:trPr>
          <w:trHeight w:val="512" w:hRule="atLeast"/>
          <w:jc w:val="center"/>
        </w:trPr>
        <w:tc>
          <w:tcPr>
            <w:tcW w:w="2206" w:type="dxa"/>
            <w:tcBorders>
              <w:top w:val="nil"/>
              <w:bottom w:val="single" w:color="000000" w:sz="8" w:space="0"/>
              <w:right w:val="single" w:color="000000" w:sz="8" w:space="0"/>
            </w:tcBorders>
            <w:shd w:val="clear" w:color="auto" w:fill="auto"/>
            <w:tcMar>
              <w:top w:w="15" w:type="dxa"/>
              <w:left w:w="15" w:type="dxa"/>
              <w:right w:w="15" w:type="dxa"/>
            </w:tcMar>
            <w:vAlign w:val="center"/>
          </w:tcPr>
          <w:p w14:paraId="21E31DE1">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拆除垃圾</w:t>
            </w:r>
          </w:p>
        </w:tc>
        <w:tc>
          <w:tcPr>
            <w:tcW w:w="1720"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14:paraId="6B208A56">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 xml:space="preserve">14.0 </w:t>
            </w:r>
          </w:p>
        </w:tc>
        <w:tc>
          <w:tcPr>
            <w:tcW w:w="1460"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14:paraId="1820F22F">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 xml:space="preserve">1.4 </w:t>
            </w:r>
          </w:p>
        </w:tc>
        <w:tc>
          <w:tcPr>
            <w:tcW w:w="1620"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14:paraId="7AB33F84">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 xml:space="preserve">11.2 </w:t>
            </w:r>
          </w:p>
        </w:tc>
        <w:tc>
          <w:tcPr>
            <w:tcW w:w="1230" w:type="dxa"/>
            <w:tcBorders>
              <w:top w:val="nil"/>
              <w:left w:val="single" w:color="000000" w:sz="8" w:space="0"/>
              <w:bottom w:val="single" w:color="000000" w:sz="8" w:space="0"/>
            </w:tcBorders>
            <w:shd w:val="clear" w:color="auto" w:fill="auto"/>
            <w:tcMar>
              <w:top w:w="15" w:type="dxa"/>
              <w:left w:w="15" w:type="dxa"/>
              <w:right w:w="15" w:type="dxa"/>
            </w:tcMar>
            <w:vAlign w:val="center"/>
          </w:tcPr>
          <w:p w14:paraId="6DDB9491">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 xml:space="preserve">1.4 </w:t>
            </w:r>
          </w:p>
        </w:tc>
      </w:tr>
      <w:tr w14:paraId="421E62E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0" w:type="dxa"/>
            <w:bottom w:w="0" w:type="dxa"/>
            <w:right w:w="0" w:type="dxa"/>
          </w:tblCellMar>
        </w:tblPrEx>
        <w:trPr>
          <w:trHeight w:val="512" w:hRule="atLeast"/>
          <w:jc w:val="center"/>
        </w:trPr>
        <w:tc>
          <w:tcPr>
            <w:tcW w:w="2206" w:type="dxa"/>
            <w:tcBorders>
              <w:top w:val="nil"/>
              <w:bottom w:val="single" w:color="auto" w:sz="4" w:space="0"/>
              <w:right w:val="single" w:color="000000" w:sz="8" w:space="0"/>
            </w:tcBorders>
            <w:shd w:val="clear" w:color="auto" w:fill="auto"/>
            <w:tcMar>
              <w:top w:w="15" w:type="dxa"/>
              <w:left w:w="15" w:type="dxa"/>
              <w:right w:w="15" w:type="dxa"/>
            </w:tcMar>
            <w:vAlign w:val="center"/>
          </w:tcPr>
          <w:p w14:paraId="0ACE19A5">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装修垃圾</w:t>
            </w:r>
          </w:p>
        </w:tc>
        <w:tc>
          <w:tcPr>
            <w:tcW w:w="1720" w:type="dxa"/>
            <w:tcBorders>
              <w:top w:val="nil"/>
              <w:left w:val="single" w:color="000000" w:sz="8" w:space="0"/>
              <w:bottom w:val="single" w:color="auto" w:sz="4" w:space="0"/>
              <w:right w:val="single" w:color="000000" w:sz="8" w:space="0"/>
            </w:tcBorders>
            <w:shd w:val="clear" w:color="auto" w:fill="auto"/>
            <w:tcMar>
              <w:top w:w="15" w:type="dxa"/>
              <w:left w:w="15" w:type="dxa"/>
              <w:right w:w="15" w:type="dxa"/>
            </w:tcMar>
            <w:vAlign w:val="center"/>
          </w:tcPr>
          <w:p w14:paraId="2961985E">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 xml:space="preserve">20.0 </w:t>
            </w:r>
          </w:p>
        </w:tc>
        <w:tc>
          <w:tcPr>
            <w:tcW w:w="1460" w:type="dxa"/>
            <w:tcBorders>
              <w:top w:val="nil"/>
              <w:left w:val="single" w:color="000000" w:sz="8" w:space="0"/>
              <w:bottom w:val="single" w:color="auto" w:sz="4" w:space="0"/>
              <w:right w:val="single" w:color="000000" w:sz="8" w:space="0"/>
            </w:tcBorders>
            <w:shd w:val="clear" w:color="auto" w:fill="auto"/>
            <w:tcMar>
              <w:top w:w="15" w:type="dxa"/>
              <w:left w:w="15" w:type="dxa"/>
              <w:right w:w="15" w:type="dxa"/>
            </w:tcMar>
            <w:vAlign w:val="center"/>
          </w:tcPr>
          <w:p w14:paraId="7EBC6FA8">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 xml:space="preserve">2.0 </w:t>
            </w:r>
          </w:p>
        </w:tc>
        <w:tc>
          <w:tcPr>
            <w:tcW w:w="1620" w:type="dxa"/>
            <w:tcBorders>
              <w:top w:val="nil"/>
              <w:left w:val="single" w:color="000000" w:sz="8" w:space="0"/>
              <w:bottom w:val="single" w:color="auto" w:sz="4" w:space="0"/>
              <w:right w:val="single" w:color="000000" w:sz="8" w:space="0"/>
            </w:tcBorders>
            <w:shd w:val="clear" w:color="auto" w:fill="auto"/>
            <w:tcMar>
              <w:top w:w="15" w:type="dxa"/>
              <w:left w:w="15" w:type="dxa"/>
              <w:right w:w="15" w:type="dxa"/>
            </w:tcMar>
            <w:vAlign w:val="center"/>
          </w:tcPr>
          <w:p w14:paraId="39525A94">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 xml:space="preserve">13.0 </w:t>
            </w:r>
          </w:p>
        </w:tc>
        <w:tc>
          <w:tcPr>
            <w:tcW w:w="1230" w:type="dxa"/>
            <w:tcBorders>
              <w:top w:val="nil"/>
              <w:left w:val="single" w:color="000000" w:sz="8" w:space="0"/>
              <w:bottom w:val="single" w:color="auto" w:sz="4" w:space="0"/>
            </w:tcBorders>
            <w:shd w:val="clear" w:color="auto" w:fill="auto"/>
            <w:tcMar>
              <w:top w:w="15" w:type="dxa"/>
              <w:left w:w="15" w:type="dxa"/>
              <w:right w:w="15" w:type="dxa"/>
            </w:tcMar>
            <w:vAlign w:val="center"/>
          </w:tcPr>
          <w:p w14:paraId="73C0667F">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 xml:space="preserve">5.0 </w:t>
            </w:r>
          </w:p>
        </w:tc>
      </w:tr>
      <w:tr w14:paraId="73D1AE6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0" w:type="dxa"/>
            <w:bottom w:w="0" w:type="dxa"/>
            <w:right w:w="0" w:type="dxa"/>
          </w:tblCellMar>
        </w:tblPrEx>
        <w:trPr>
          <w:trHeight w:val="512" w:hRule="atLeast"/>
          <w:jc w:val="center"/>
        </w:trPr>
        <w:tc>
          <w:tcPr>
            <w:tcW w:w="2206" w:type="dxa"/>
            <w:tcBorders>
              <w:top w:val="single" w:color="auto" w:sz="4" w:space="0"/>
              <w:bottom w:val="single" w:color="000000" w:sz="8" w:space="0"/>
              <w:right w:val="single" w:color="000000" w:sz="8" w:space="0"/>
            </w:tcBorders>
            <w:shd w:val="clear" w:color="auto" w:fill="auto"/>
            <w:tcMar>
              <w:top w:w="15" w:type="dxa"/>
              <w:left w:w="15" w:type="dxa"/>
              <w:right w:w="15" w:type="dxa"/>
            </w:tcMar>
            <w:vAlign w:val="center"/>
          </w:tcPr>
          <w:p w14:paraId="6A4E93BA">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总量</w:t>
            </w:r>
          </w:p>
        </w:tc>
        <w:tc>
          <w:tcPr>
            <w:tcW w:w="1720" w:type="dxa"/>
            <w:tcBorders>
              <w:top w:val="single" w:color="auto" w:sz="4" w:space="0"/>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3F76839B">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 xml:space="preserve">193.2 </w:t>
            </w:r>
          </w:p>
        </w:tc>
        <w:tc>
          <w:tcPr>
            <w:tcW w:w="1460" w:type="dxa"/>
            <w:tcBorders>
              <w:top w:val="single" w:color="auto" w:sz="4" w:space="0"/>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023EFBE6">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 xml:space="preserve">95.1 </w:t>
            </w:r>
          </w:p>
        </w:tc>
        <w:tc>
          <w:tcPr>
            <w:tcW w:w="1620" w:type="dxa"/>
            <w:tcBorders>
              <w:top w:val="single" w:color="auto" w:sz="4" w:space="0"/>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14:paraId="5F7426DE">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 xml:space="preserve">65.4 </w:t>
            </w:r>
          </w:p>
        </w:tc>
        <w:tc>
          <w:tcPr>
            <w:tcW w:w="1230" w:type="dxa"/>
            <w:tcBorders>
              <w:top w:val="single" w:color="auto" w:sz="4" w:space="0"/>
              <w:left w:val="single" w:color="000000" w:sz="8" w:space="0"/>
              <w:bottom w:val="single" w:color="000000" w:sz="8" w:space="0"/>
            </w:tcBorders>
            <w:shd w:val="clear" w:color="auto" w:fill="auto"/>
            <w:tcMar>
              <w:top w:w="15" w:type="dxa"/>
              <w:left w:w="15" w:type="dxa"/>
              <w:right w:w="15" w:type="dxa"/>
            </w:tcMar>
            <w:vAlign w:val="top"/>
          </w:tcPr>
          <w:p w14:paraId="0B3187CA">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 xml:space="preserve">32.7 </w:t>
            </w:r>
          </w:p>
        </w:tc>
      </w:tr>
      <w:tr w14:paraId="4BA7433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2206" w:type="dxa"/>
            <w:tcBorders>
              <w:top w:val="nil"/>
              <w:right w:val="single" w:color="000000" w:sz="8" w:space="0"/>
            </w:tcBorders>
            <w:shd w:val="clear" w:color="auto" w:fill="auto"/>
            <w:tcMar>
              <w:top w:w="15" w:type="dxa"/>
              <w:left w:w="15" w:type="dxa"/>
              <w:right w:w="15" w:type="dxa"/>
            </w:tcMar>
            <w:vAlign w:val="center"/>
          </w:tcPr>
          <w:p w14:paraId="053A174C">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年平均值（万吨/年）</w:t>
            </w:r>
          </w:p>
        </w:tc>
        <w:tc>
          <w:tcPr>
            <w:tcW w:w="1720" w:type="dxa"/>
            <w:tcBorders>
              <w:top w:val="nil"/>
              <w:left w:val="single" w:color="000000" w:sz="8" w:space="0"/>
              <w:right w:val="single" w:color="000000" w:sz="8" w:space="0"/>
            </w:tcBorders>
            <w:shd w:val="clear" w:color="auto" w:fill="auto"/>
            <w:tcMar>
              <w:top w:w="15" w:type="dxa"/>
              <w:left w:w="15" w:type="dxa"/>
              <w:right w:w="15" w:type="dxa"/>
            </w:tcMar>
            <w:vAlign w:val="center"/>
          </w:tcPr>
          <w:p w14:paraId="348CF25E">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 xml:space="preserve">38.6 </w:t>
            </w:r>
          </w:p>
        </w:tc>
        <w:tc>
          <w:tcPr>
            <w:tcW w:w="1460" w:type="dxa"/>
            <w:tcBorders>
              <w:top w:val="nil"/>
              <w:left w:val="single" w:color="000000" w:sz="8" w:space="0"/>
              <w:right w:val="single" w:color="000000" w:sz="8" w:space="0"/>
            </w:tcBorders>
            <w:shd w:val="clear" w:color="auto" w:fill="auto"/>
            <w:tcMar>
              <w:top w:w="15" w:type="dxa"/>
              <w:left w:w="15" w:type="dxa"/>
              <w:right w:w="15" w:type="dxa"/>
            </w:tcMar>
            <w:vAlign w:val="center"/>
          </w:tcPr>
          <w:p w14:paraId="624A9DEF">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 xml:space="preserve">19.0 </w:t>
            </w:r>
          </w:p>
        </w:tc>
        <w:tc>
          <w:tcPr>
            <w:tcW w:w="1620" w:type="dxa"/>
            <w:tcBorders>
              <w:top w:val="nil"/>
              <w:left w:val="single" w:color="000000" w:sz="8" w:space="0"/>
              <w:right w:val="single" w:color="000000" w:sz="8" w:space="0"/>
            </w:tcBorders>
            <w:shd w:val="clear" w:color="auto" w:fill="auto"/>
            <w:tcMar>
              <w:top w:w="15" w:type="dxa"/>
              <w:left w:w="15" w:type="dxa"/>
              <w:right w:w="15" w:type="dxa"/>
            </w:tcMar>
            <w:vAlign w:val="center"/>
          </w:tcPr>
          <w:p w14:paraId="2D7A6526">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 xml:space="preserve">13.1 </w:t>
            </w:r>
          </w:p>
        </w:tc>
        <w:tc>
          <w:tcPr>
            <w:tcW w:w="1230" w:type="dxa"/>
            <w:tcBorders>
              <w:top w:val="nil"/>
              <w:left w:val="single" w:color="000000" w:sz="8" w:space="0"/>
            </w:tcBorders>
            <w:shd w:val="clear" w:color="auto" w:fill="auto"/>
            <w:tcMar>
              <w:top w:w="15" w:type="dxa"/>
              <w:left w:w="15" w:type="dxa"/>
              <w:right w:w="15" w:type="dxa"/>
            </w:tcMar>
            <w:vAlign w:val="center"/>
          </w:tcPr>
          <w:p w14:paraId="124E9F37">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 xml:space="preserve">6.5 </w:t>
            </w:r>
          </w:p>
        </w:tc>
      </w:tr>
    </w:tbl>
    <w:p w14:paraId="472B5ED5">
      <w:pPr>
        <w:pageBreakBefore w:val="0"/>
        <w:kinsoku/>
        <w:wordWrap/>
        <w:topLinePunct w:val="0"/>
        <w:bidi w:val="0"/>
        <w:spacing w:beforeAutospacing="0" w:afterAutospacing="0" w:line="560" w:lineRule="exact"/>
        <w:ind w:left="0" w:leftChars="0"/>
        <w:jc w:val="center"/>
        <w:rPr>
          <w:rFonts w:hint="eastAsia"/>
          <w:bCs/>
          <w:color w:val="auto"/>
          <w:sz w:val="24"/>
          <w:szCs w:val="24"/>
          <w:highlight w:val="none"/>
          <w:u w:val="none"/>
          <w:lang w:eastAsia="zh-CN"/>
        </w:rPr>
      </w:pPr>
    </w:p>
    <w:p w14:paraId="22B87217">
      <w:pPr>
        <w:pageBreakBefore w:val="0"/>
        <w:kinsoku/>
        <w:wordWrap/>
        <w:topLinePunct w:val="0"/>
        <w:bidi w:val="0"/>
        <w:spacing w:beforeAutospacing="0" w:afterAutospacing="0" w:line="560" w:lineRule="exact"/>
        <w:ind w:left="0" w:leftChars="0"/>
        <w:jc w:val="center"/>
        <w:rPr>
          <w:rFonts w:hint="eastAsia"/>
          <w:bCs/>
          <w:color w:val="auto"/>
          <w:sz w:val="24"/>
          <w:szCs w:val="24"/>
          <w:highlight w:val="none"/>
          <w:u w:val="none"/>
          <w:lang w:eastAsia="zh-CN"/>
        </w:rPr>
      </w:pPr>
    </w:p>
    <w:p w14:paraId="06406071">
      <w:pPr>
        <w:pageBreakBefore w:val="0"/>
        <w:kinsoku/>
        <w:wordWrap/>
        <w:topLinePunct w:val="0"/>
        <w:bidi w:val="0"/>
        <w:spacing w:beforeAutospacing="0" w:afterAutospacing="0" w:line="560" w:lineRule="exact"/>
        <w:ind w:left="0" w:leftChars="0"/>
        <w:rPr>
          <w:rFonts w:hint="eastAsia"/>
          <w:color w:val="auto"/>
          <w:highlight w:val="none"/>
          <w:u w:val="none"/>
          <w:lang w:val="en-US" w:eastAsia="zh-CN"/>
        </w:rPr>
      </w:pPr>
    </w:p>
    <w:p w14:paraId="54B3B508">
      <w:pPr>
        <w:pageBreakBefore w:val="0"/>
        <w:kinsoku/>
        <w:wordWrap/>
        <w:topLinePunct w:val="0"/>
        <w:bidi w:val="0"/>
        <w:spacing w:beforeAutospacing="0" w:afterAutospacing="0" w:line="560" w:lineRule="exact"/>
        <w:ind w:left="0" w:leftChars="0"/>
        <w:rPr>
          <w:rFonts w:hint="eastAsia" w:ascii="Times New Roman" w:hAnsi="Times New Roman"/>
          <w:color w:val="auto"/>
          <w:u w:val="none"/>
          <w:lang w:val="en-US" w:eastAsia="zh-CN"/>
        </w:rPr>
      </w:pPr>
      <w:bookmarkStart w:id="48" w:name="_Toc25779"/>
      <w:r>
        <w:rPr>
          <w:rFonts w:hint="eastAsia" w:ascii="Times New Roman" w:hAnsi="Times New Roman"/>
          <w:color w:val="auto"/>
          <w:u w:val="none"/>
          <w:lang w:val="en-US" w:eastAsia="zh-CN"/>
        </w:rPr>
        <w:br w:type="page"/>
      </w:r>
    </w:p>
    <w:p w14:paraId="30F6C3BA">
      <w:pPr>
        <w:pStyle w:val="2"/>
        <w:pageBreakBefore w:val="0"/>
        <w:kinsoku/>
        <w:wordWrap/>
        <w:topLinePunct w:val="0"/>
        <w:bidi w:val="0"/>
        <w:spacing w:before="0" w:beforeLines="0" w:beforeAutospacing="0" w:after="0" w:afterLines="0" w:afterAutospacing="0" w:line="560" w:lineRule="exact"/>
        <w:ind w:left="0" w:leftChars="0" w:firstLine="640" w:firstLineChars="200"/>
        <w:jc w:val="both"/>
        <w:rPr>
          <w:rFonts w:hint="eastAsia" w:ascii="黑体" w:hAnsi="黑体" w:eastAsia="黑体" w:cs="黑体"/>
          <w:b w:val="0"/>
          <w:bCs/>
          <w:color w:val="auto"/>
          <w:sz w:val="32"/>
          <w:szCs w:val="32"/>
          <w:u w:val="none"/>
          <w:lang w:val="en-US" w:eastAsia="zh-CN"/>
        </w:rPr>
      </w:pPr>
      <w:bookmarkStart w:id="49" w:name="_Toc29458"/>
      <w:bookmarkStart w:id="50" w:name="_Toc25309"/>
      <w:r>
        <w:rPr>
          <w:rFonts w:hint="eastAsia" w:ascii="黑体" w:hAnsi="黑体" w:eastAsia="黑体" w:cs="黑体"/>
          <w:b w:val="0"/>
          <w:bCs/>
          <w:color w:val="auto"/>
          <w:sz w:val="32"/>
          <w:szCs w:val="32"/>
          <w:u w:val="none"/>
          <w:lang w:val="en-US" w:eastAsia="zh-CN"/>
        </w:rPr>
        <w:t>五、建筑垃圾源头减量规划</w:t>
      </w:r>
      <w:bookmarkEnd w:id="48"/>
      <w:bookmarkEnd w:id="49"/>
      <w:bookmarkEnd w:id="50"/>
    </w:p>
    <w:p w14:paraId="01333D84">
      <w:pPr>
        <w:pStyle w:val="3"/>
        <w:pageBreakBefore w:val="0"/>
        <w:kinsoku/>
        <w:wordWrap/>
        <w:topLinePunct w:val="0"/>
        <w:bidi w:val="0"/>
        <w:spacing w:beforeAutospacing="0" w:afterAutospacing="0" w:line="560" w:lineRule="exact"/>
        <w:ind w:left="0" w:leftChars="0" w:firstLine="640" w:firstLineChars="200"/>
        <w:rPr>
          <w:rFonts w:hint="eastAsia" w:ascii="仿宋_GB2312" w:hAnsi="仿宋_GB2312" w:eastAsia="仿宋_GB2312" w:cs="仿宋_GB2312"/>
          <w:color w:val="auto"/>
          <w:sz w:val="32"/>
          <w:szCs w:val="32"/>
          <w:u w:val="none"/>
          <w:lang w:val="en-US" w:eastAsia="zh-CN"/>
        </w:rPr>
      </w:pPr>
      <w:bookmarkStart w:id="51" w:name="_Toc29763"/>
      <w:bookmarkStart w:id="52" w:name="_Toc30163"/>
      <w:bookmarkStart w:id="53" w:name="_Toc8537"/>
      <w:r>
        <w:rPr>
          <w:rFonts w:hint="eastAsia" w:ascii="楷体_GB2312" w:hAnsi="楷体_GB2312" w:eastAsia="楷体_GB2312" w:cs="楷体_GB2312"/>
          <w:b w:val="0"/>
          <w:bCs w:val="0"/>
          <w:color w:val="auto"/>
          <w:sz w:val="32"/>
          <w:szCs w:val="32"/>
          <w:u w:val="none"/>
          <w:lang w:val="en-US" w:eastAsia="zh-CN"/>
        </w:rPr>
        <w:t>（一）源头减量目标</w:t>
      </w:r>
      <w:bookmarkEnd w:id="51"/>
      <w:bookmarkEnd w:id="52"/>
      <w:bookmarkEnd w:id="53"/>
    </w:p>
    <w:p w14:paraId="20095948">
      <w:pPr>
        <w:pageBreakBefore w:val="0"/>
        <w:kinsoku/>
        <w:wordWrap/>
        <w:topLinePunct w:val="0"/>
        <w:bidi w:val="0"/>
        <w:spacing w:beforeAutospacing="0" w:afterAutospacing="0" w:line="560" w:lineRule="exact"/>
        <w:ind w:left="0" w:leftChars="0"/>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《工作规划》采用开展绿色策划、实施绿色设计、推广绿色施工等措施，实现建筑垃圾源头减量。近远期全县新建建筑施工现场建筑垃圾（不包括工程渣土、工程泥浆）排放量每万平方米不高于</w:t>
      </w:r>
      <w:r>
        <w:rPr>
          <w:rFonts w:hint="default" w:ascii="Times New Roman" w:hAnsi="Times New Roman" w:eastAsia="仿宋_GB2312" w:cs="Times New Roman"/>
          <w:color w:val="auto"/>
          <w:sz w:val="32"/>
          <w:szCs w:val="32"/>
          <w:u w:val="none"/>
          <w:lang w:val="en-US" w:eastAsia="zh-CN"/>
        </w:rPr>
        <w:t>300</w:t>
      </w:r>
      <w:r>
        <w:rPr>
          <w:rFonts w:hint="eastAsia" w:ascii="仿宋_GB2312" w:hAnsi="仿宋_GB2312" w:eastAsia="仿宋_GB2312" w:cs="仿宋_GB2312"/>
          <w:color w:val="auto"/>
          <w:sz w:val="32"/>
          <w:szCs w:val="32"/>
          <w:u w:val="none"/>
          <w:lang w:val="en-US" w:eastAsia="zh-CN"/>
        </w:rPr>
        <w:t>吨，装配式建筑施工建筑垃圾（不包括工程渣土、工程泥浆）排放量每万平方米不高于</w:t>
      </w:r>
      <w:r>
        <w:rPr>
          <w:rFonts w:hint="default" w:ascii="Times New Roman" w:hAnsi="Times New Roman" w:eastAsia="仿宋_GB2312" w:cs="Times New Roman"/>
          <w:color w:val="auto"/>
          <w:sz w:val="32"/>
          <w:szCs w:val="32"/>
          <w:u w:val="none"/>
          <w:lang w:val="en-US" w:eastAsia="zh-CN"/>
        </w:rPr>
        <w:t>200</w:t>
      </w:r>
      <w:r>
        <w:rPr>
          <w:rFonts w:hint="eastAsia" w:ascii="仿宋_GB2312" w:hAnsi="仿宋_GB2312" w:eastAsia="仿宋_GB2312" w:cs="仿宋_GB2312"/>
          <w:color w:val="auto"/>
          <w:sz w:val="32"/>
          <w:szCs w:val="32"/>
          <w:u w:val="none"/>
          <w:lang w:val="en-US" w:eastAsia="zh-CN"/>
        </w:rPr>
        <w:t>吨。</w:t>
      </w:r>
    </w:p>
    <w:p w14:paraId="03F766D1">
      <w:pPr>
        <w:pStyle w:val="3"/>
        <w:pageBreakBefore w:val="0"/>
        <w:kinsoku/>
        <w:wordWrap/>
        <w:topLinePunct w:val="0"/>
        <w:bidi w:val="0"/>
        <w:spacing w:beforeAutospacing="0" w:afterAutospacing="0" w:line="560" w:lineRule="exact"/>
        <w:ind w:left="0" w:leftChars="0" w:firstLine="640" w:firstLineChars="200"/>
        <w:rPr>
          <w:rFonts w:hint="eastAsia" w:ascii="楷体_GB2312" w:hAnsi="楷体_GB2312" w:eastAsia="楷体_GB2312" w:cs="楷体_GB2312"/>
          <w:b w:val="0"/>
          <w:bCs w:val="0"/>
          <w:color w:val="auto"/>
          <w:sz w:val="32"/>
          <w:szCs w:val="32"/>
          <w:u w:val="none"/>
          <w:lang w:val="en-US" w:eastAsia="zh-CN"/>
        </w:rPr>
      </w:pPr>
      <w:bookmarkStart w:id="54" w:name="_Toc30116"/>
      <w:bookmarkStart w:id="55" w:name="_Toc32754"/>
      <w:bookmarkStart w:id="56" w:name="_Toc15725"/>
      <w:r>
        <w:rPr>
          <w:rFonts w:hint="eastAsia" w:ascii="楷体_GB2312" w:hAnsi="楷体_GB2312" w:eastAsia="楷体_GB2312" w:cs="楷体_GB2312"/>
          <w:b w:val="0"/>
          <w:bCs w:val="0"/>
          <w:color w:val="auto"/>
          <w:sz w:val="32"/>
          <w:szCs w:val="32"/>
          <w:u w:val="none"/>
          <w:lang w:val="en-US" w:eastAsia="zh-CN"/>
        </w:rPr>
        <w:t>（二）源头减量措施</w:t>
      </w:r>
      <w:bookmarkEnd w:id="54"/>
      <w:bookmarkEnd w:id="55"/>
      <w:bookmarkEnd w:id="56"/>
    </w:p>
    <w:p w14:paraId="368AC502">
      <w:pPr>
        <w:pageBreakBefore w:val="0"/>
        <w:kinsoku/>
        <w:wordWrap/>
        <w:topLinePunct w:val="0"/>
        <w:bidi w:val="0"/>
        <w:spacing w:beforeAutospacing="0" w:afterAutospacing="0" w:line="560" w:lineRule="exact"/>
        <w:ind w:left="0" w:leftChars="0" w:firstLine="640" w:firstLineChars="200"/>
        <w:rPr>
          <w:rFonts w:hint="eastAsia" w:ascii="仿宋_GB2312" w:hAnsi="仿宋_GB2312" w:eastAsia="仿宋_GB2312" w:cs="仿宋_GB2312"/>
          <w:b w:val="0"/>
          <w:bCs w:val="0"/>
          <w:color w:val="auto"/>
          <w:sz w:val="32"/>
          <w:szCs w:val="32"/>
          <w:u w:val="none"/>
          <w:lang w:val="en-US" w:eastAsia="zh-CN"/>
        </w:rPr>
      </w:pPr>
      <w:r>
        <w:rPr>
          <w:rFonts w:hint="default" w:ascii="Times New Roman" w:hAnsi="Times New Roman" w:eastAsia="仿宋_GB2312" w:cs="Times New Roman"/>
          <w:b w:val="0"/>
          <w:bCs w:val="0"/>
          <w:color w:val="auto"/>
          <w:sz w:val="32"/>
          <w:szCs w:val="32"/>
          <w:u w:val="none"/>
          <w:lang w:val="en-US" w:eastAsia="zh-CN"/>
        </w:rPr>
        <w:t>1．</w:t>
      </w:r>
      <w:r>
        <w:rPr>
          <w:rFonts w:hint="eastAsia" w:ascii="仿宋_GB2312" w:hAnsi="仿宋_GB2312" w:eastAsia="仿宋_GB2312" w:cs="仿宋_GB2312"/>
          <w:b w:val="0"/>
          <w:bCs w:val="0"/>
          <w:color w:val="auto"/>
          <w:sz w:val="32"/>
          <w:szCs w:val="32"/>
          <w:u w:val="none"/>
          <w:lang w:val="en-US" w:eastAsia="zh-CN"/>
        </w:rPr>
        <w:t>开展绿色策划</w:t>
      </w:r>
    </w:p>
    <w:p w14:paraId="2322A3B6">
      <w:pPr>
        <w:pageBreakBefore w:val="0"/>
        <w:kinsoku/>
        <w:wordWrap/>
        <w:topLinePunct w:val="0"/>
        <w:bidi w:val="0"/>
        <w:spacing w:beforeAutospacing="0" w:afterAutospacing="0" w:line="560" w:lineRule="exact"/>
        <w:ind w:left="0" w:leftChars="0"/>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b/>
          <w:bCs/>
          <w:color w:val="auto"/>
          <w:sz w:val="32"/>
          <w:szCs w:val="32"/>
          <w:u w:val="none"/>
          <w:lang w:val="en-US" w:eastAsia="zh-CN"/>
        </w:rPr>
        <w:t>落实企业主体责任。</w:t>
      </w:r>
      <w:r>
        <w:rPr>
          <w:rFonts w:hint="eastAsia" w:ascii="仿宋_GB2312" w:hAnsi="仿宋_GB2312" w:eastAsia="仿宋_GB2312" w:cs="仿宋_GB2312"/>
          <w:b w:val="0"/>
          <w:bCs w:val="0"/>
          <w:color w:val="auto"/>
          <w:sz w:val="32"/>
          <w:szCs w:val="32"/>
          <w:u w:val="none"/>
          <w:lang w:val="en-US" w:eastAsia="zh-CN"/>
        </w:rPr>
        <w:t>按照</w:t>
      </w:r>
      <w:r>
        <w:rPr>
          <w:rFonts w:hint="eastAsia" w:ascii="仿宋_GB2312" w:hAnsi="仿宋_GB2312" w:eastAsia="仿宋_GB2312" w:cs="仿宋_GB2312"/>
          <w:color w:val="auto"/>
          <w:sz w:val="32"/>
          <w:szCs w:val="32"/>
          <w:u w:val="none"/>
          <w:lang w:val="en-US" w:eastAsia="zh-CN"/>
        </w:rPr>
        <w:t>“谁产生、谁负责”的原则，落实建设单位建筑垃圾减量化的首要责任。建设单位应完善建筑垃圾减量化的组织管理体系，明确建筑垃圾减量化目标及再生品使用比例，将建筑垃圾产生量、再利用量、处理量、再生品使用量等指标和措施纳入设计、施工、监理等招标文件和合同文本，将建筑垃圾减量化措施费和再生品使用补贴费用纳入工程概算，并建立相应奖惩机制，监督和激励设计、施工、监理单位具体落实。</w:t>
      </w:r>
    </w:p>
    <w:p w14:paraId="2D5979E4">
      <w:pPr>
        <w:pageBreakBefore w:val="0"/>
        <w:kinsoku/>
        <w:wordWrap/>
        <w:topLinePunct w:val="0"/>
        <w:bidi w:val="0"/>
        <w:spacing w:beforeAutospacing="0" w:afterAutospacing="0" w:line="560" w:lineRule="exact"/>
        <w:ind w:left="0" w:leftChars="0"/>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b/>
          <w:bCs/>
          <w:color w:val="auto"/>
          <w:sz w:val="32"/>
          <w:szCs w:val="32"/>
          <w:u w:val="none"/>
          <w:lang w:val="en-US" w:eastAsia="zh-CN"/>
        </w:rPr>
        <w:t>实施新型建造方式。</w:t>
      </w:r>
      <w:r>
        <w:rPr>
          <w:rFonts w:hint="eastAsia" w:ascii="仿宋_GB2312" w:hAnsi="仿宋_GB2312" w:eastAsia="仿宋_GB2312" w:cs="仿宋_GB2312"/>
          <w:color w:val="auto"/>
          <w:sz w:val="32"/>
          <w:szCs w:val="32"/>
          <w:u w:val="none"/>
          <w:lang w:val="en-US" w:eastAsia="zh-CN"/>
        </w:rPr>
        <w:t>大力发展装配式建筑，在住宅、医院、学校、写字楼和产业园区等领域积极推广钢结构装配式建筑，在</w:t>
      </w:r>
      <w:r>
        <w:rPr>
          <w:rFonts w:hint="eastAsia" w:ascii="仿宋_GB2312" w:hAnsi="仿宋_GB2312" w:eastAsia="仿宋_GB2312" w:cs="仿宋_GB2312"/>
          <w:bCs/>
          <w:color w:val="auto"/>
          <w:sz w:val="32"/>
          <w:szCs w:val="32"/>
          <w:highlight w:val="none"/>
          <w:u w:val="none"/>
          <w:lang w:val="en-US" w:eastAsia="zh-CN"/>
        </w:rPr>
        <w:t>融安县</w:t>
      </w:r>
      <w:r>
        <w:rPr>
          <w:rFonts w:hint="eastAsia" w:ascii="仿宋_GB2312" w:hAnsi="仿宋_GB2312" w:eastAsia="仿宋_GB2312" w:cs="仿宋_GB2312"/>
          <w:color w:val="auto"/>
          <w:sz w:val="32"/>
          <w:szCs w:val="32"/>
          <w:u w:val="none"/>
          <w:lang w:val="en-US" w:eastAsia="zh-CN"/>
        </w:rPr>
        <w:t>新建建筑中推广应用预制楼梯板、预制楼板、预制内外墙板（简称“三板”），推行工厂化预制、装配化施工、信息化管理的建造模式。新建城镇民用建筑土地出让合同、规划条件、建设条件应当明确装配式建筑比例、装配率、评价等级等要求，并将预制装配率目标纳入招标及合同文件。政府投资类项目应带头采用装配式建筑，强化属地推广责任，将装配式建筑实施情况纳入年度量化考核目标。引导和鼓励新建商品住宅实行全装修交付，着力减少室内装修垃圾产生量。大力推进建筑信息模型</w:t>
      </w:r>
      <w:r>
        <w:rPr>
          <w:rFonts w:hint="default" w:ascii="Times New Roman" w:hAnsi="Times New Roman" w:eastAsia="仿宋_GB2312" w:cs="Times New Roman"/>
          <w:color w:val="auto"/>
          <w:sz w:val="32"/>
          <w:szCs w:val="32"/>
          <w:u w:val="none"/>
          <w:lang w:val="en-US" w:eastAsia="zh-CN"/>
        </w:rPr>
        <w:t>（BIM）</w:t>
      </w:r>
      <w:r>
        <w:rPr>
          <w:rFonts w:hint="eastAsia" w:ascii="仿宋_GB2312" w:hAnsi="仿宋_GB2312" w:eastAsia="仿宋_GB2312" w:cs="仿宋_GB2312"/>
          <w:color w:val="auto"/>
          <w:sz w:val="32"/>
          <w:szCs w:val="32"/>
          <w:u w:val="none"/>
          <w:lang w:val="en-US" w:eastAsia="zh-CN"/>
        </w:rPr>
        <w:t>等技术在工程设计和施工中的应用，辅助施工现场管理，提高资源利用率。</w:t>
      </w:r>
    </w:p>
    <w:p w14:paraId="4011CB81">
      <w:pPr>
        <w:pageBreakBefore w:val="0"/>
        <w:kinsoku/>
        <w:wordWrap/>
        <w:topLinePunct w:val="0"/>
        <w:bidi w:val="0"/>
        <w:spacing w:beforeAutospacing="0" w:afterAutospacing="0" w:line="560" w:lineRule="exact"/>
        <w:ind w:left="0" w:leftChars="0"/>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b/>
          <w:bCs/>
          <w:color w:val="auto"/>
          <w:sz w:val="32"/>
          <w:szCs w:val="32"/>
          <w:u w:val="none"/>
          <w:lang w:val="en-US" w:eastAsia="zh-CN"/>
        </w:rPr>
        <w:t>采用新型组织模式。</w:t>
      </w:r>
      <w:r>
        <w:rPr>
          <w:rFonts w:hint="eastAsia" w:ascii="仿宋_GB2312" w:hAnsi="仿宋_GB2312" w:eastAsia="仿宋_GB2312" w:cs="仿宋_GB2312"/>
          <w:color w:val="auto"/>
          <w:sz w:val="32"/>
          <w:szCs w:val="32"/>
          <w:u w:val="none"/>
          <w:lang w:val="en-US" w:eastAsia="zh-CN"/>
        </w:rPr>
        <w:t>推动工程建设组织方式改革，推进</w:t>
      </w:r>
      <w:r>
        <w:rPr>
          <w:rFonts w:hint="eastAsia" w:ascii="Times New Roman" w:hAnsi="Times New Roman" w:eastAsia="仿宋_GB2312" w:cs="Times New Roman"/>
          <w:color w:val="auto"/>
          <w:sz w:val="32"/>
          <w:szCs w:val="32"/>
          <w:u w:val="none"/>
          <w:lang w:val="en-US" w:eastAsia="zh-CN"/>
        </w:rPr>
        <w:t>EPC、EPC+O、D+B</w:t>
      </w:r>
      <w:r>
        <w:rPr>
          <w:rFonts w:hint="eastAsia" w:ascii="仿宋_GB2312" w:hAnsi="仿宋_GB2312" w:eastAsia="仿宋_GB2312" w:cs="仿宋_GB2312"/>
          <w:color w:val="auto"/>
          <w:sz w:val="32"/>
          <w:szCs w:val="32"/>
          <w:u w:val="none"/>
          <w:lang w:val="en-US" w:eastAsia="zh-CN"/>
        </w:rPr>
        <w:t>等新型建造管理模式。在政府投资的房屋建筑和市政基础设施领域积极采用工程总承包和全过程工程咨询等组织模式，促进项目管理和多个工程服务咨询环节紧密衔接。在民用建筑及低风险工业建筑中推进建筑师负责制，加强设计与施工的深度协同，构建有利于推进建筑垃圾减量化的组织模式。积极引进优质的、成熟的装配式领域工程总承包企业和全过程工程咨询企业，同时加快培育一批该类型企业，并在资质晋级、评优评先、信用评价等方面予以倾斜。</w:t>
      </w:r>
    </w:p>
    <w:p w14:paraId="62FEB02C">
      <w:pPr>
        <w:pageBreakBefore w:val="0"/>
        <w:kinsoku/>
        <w:wordWrap/>
        <w:topLinePunct w:val="0"/>
        <w:bidi w:val="0"/>
        <w:spacing w:beforeAutospacing="0" w:afterAutospacing="0" w:line="560" w:lineRule="exact"/>
        <w:ind w:left="0" w:leftChars="0" w:firstLine="640" w:firstLineChars="200"/>
        <w:rPr>
          <w:rFonts w:hint="eastAsia" w:ascii="仿宋_GB2312" w:hAnsi="仿宋_GB2312" w:eastAsia="仿宋_GB2312" w:cs="仿宋_GB2312"/>
          <w:b/>
          <w:bCs/>
          <w:color w:val="auto"/>
          <w:sz w:val="32"/>
          <w:szCs w:val="32"/>
          <w:u w:val="none"/>
          <w:lang w:val="en-US" w:eastAsia="zh-CN"/>
        </w:rPr>
      </w:pPr>
      <w:r>
        <w:rPr>
          <w:rFonts w:hint="default" w:ascii="Times New Roman" w:hAnsi="Times New Roman" w:eastAsia="仿宋_GB2312" w:cs="Times New Roman"/>
          <w:b w:val="0"/>
          <w:bCs w:val="0"/>
          <w:color w:val="auto"/>
          <w:sz w:val="32"/>
          <w:szCs w:val="32"/>
          <w:u w:val="none"/>
          <w:lang w:val="en-US" w:eastAsia="zh-CN"/>
        </w:rPr>
        <w:t>2</w:t>
      </w:r>
      <w:r>
        <w:rPr>
          <w:rFonts w:hint="eastAsia" w:ascii="仿宋_GB2312" w:hAnsi="仿宋_GB2312" w:eastAsia="仿宋_GB2312" w:cs="仿宋_GB2312"/>
          <w:b w:val="0"/>
          <w:bCs w:val="0"/>
          <w:color w:val="auto"/>
          <w:sz w:val="32"/>
          <w:szCs w:val="32"/>
          <w:u w:val="none"/>
          <w:lang w:val="en-US" w:eastAsia="zh-CN"/>
        </w:rPr>
        <w:t>．实施绿色设计</w:t>
      </w:r>
    </w:p>
    <w:p w14:paraId="0DC41D7C">
      <w:pPr>
        <w:pageBreakBefore w:val="0"/>
        <w:kinsoku/>
        <w:wordWrap/>
        <w:topLinePunct w:val="0"/>
        <w:bidi w:val="0"/>
        <w:spacing w:beforeAutospacing="0" w:afterAutospacing="0" w:line="560" w:lineRule="exact"/>
        <w:ind w:left="0" w:leftChars="0"/>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b/>
          <w:bCs/>
          <w:color w:val="auto"/>
          <w:sz w:val="32"/>
          <w:szCs w:val="32"/>
          <w:u w:val="none"/>
          <w:lang w:val="en-US" w:eastAsia="zh-CN"/>
        </w:rPr>
        <w:t>贯彻全寿命期理念。</w:t>
      </w:r>
      <w:r>
        <w:rPr>
          <w:rFonts w:hint="eastAsia" w:ascii="仿宋_GB2312" w:hAnsi="仿宋_GB2312" w:eastAsia="仿宋_GB2312" w:cs="仿宋_GB2312"/>
          <w:color w:val="auto"/>
          <w:sz w:val="32"/>
          <w:szCs w:val="32"/>
          <w:u w:val="none"/>
          <w:lang w:val="en-US" w:eastAsia="zh-CN"/>
        </w:rPr>
        <w:t>工程咨询单位、设计单位应统筹考虑工程全寿命期的耐久性、可持续性。鼓励设计单位采用多功能复合一体化墙体材料、一体化屋面、高透光低辐射镀膜玻璃、高性能标准化门窗系统、建筑外遮阳系统、高性能混凝土、冷再生沥青混凝土、冷再生水泥稳定碎石、高强钢筋、高性能防火保温材料、可循环材料和再生品材料以及先进适用技术体系等开展工程设计。根据“模数统一、模块协同”原则，推进功能模块和部品构件标准化、建筑配件整体化、管线设备模块化，减少异型和非标准部品构件。对改建扩建工程，鼓励充分利用原结构及满足要求的原机电设备。</w:t>
      </w:r>
    </w:p>
    <w:p w14:paraId="0CFD8773">
      <w:pPr>
        <w:pageBreakBefore w:val="0"/>
        <w:kinsoku/>
        <w:wordWrap/>
        <w:topLinePunct w:val="0"/>
        <w:bidi w:val="0"/>
        <w:spacing w:beforeAutospacing="0" w:afterAutospacing="0" w:line="560" w:lineRule="exact"/>
        <w:ind w:left="0" w:leftChars="0"/>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b/>
          <w:bCs/>
          <w:color w:val="auto"/>
          <w:sz w:val="32"/>
          <w:szCs w:val="32"/>
          <w:u w:val="none"/>
          <w:lang w:val="en-US" w:eastAsia="zh-CN"/>
        </w:rPr>
        <w:t>提高设计质量。</w:t>
      </w:r>
      <w:r>
        <w:rPr>
          <w:rFonts w:hint="eastAsia" w:ascii="仿宋_GB2312" w:hAnsi="仿宋_GB2312" w:eastAsia="仿宋_GB2312" w:cs="仿宋_GB2312"/>
          <w:color w:val="auto"/>
          <w:sz w:val="32"/>
          <w:szCs w:val="32"/>
          <w:u w:val="none"/>
          <w:lang w:val="en-US" w:eastAsia="zh-CN"/>
        </w:rPr>
        <w:t>设计单位要在工程设计阶段加强建筑垃圾减量化、资源化利用设计，应根据地形地貌合理确定场地标高，开展土方平衡论证，减少渣土外运。选择适宜的结构体系，减少建筑形体不规则性。在符合设计基本原则的前提下，提倡优先考虑再生混凝土、再生沥青混凝土、冷再生水泥稳定碎石、再生砖等再生品及绿色建材的使用，且每个项目使用种类不少于</w:t>
      </w:r>
      <w:r>
        <w:rPr>
          <w:rFonts w:hint="default" w:ascii="Times New Roman" w:hAnsi="Times New Roman" w:eastAsia="仿宋_GB2312" w:cs="Times New Roman"/>
          <w:color w:val="auto"/>
          <w:sz w:val="32"/>
          <w:szCs w:val="32"/>
          <w:u w:val="none"/>
          <w:lang w:val="en-US" w:eastAsia="zh-CN"/>
        </w:rPr>
        <w:t>2</w:t>
      </w:r>
      <w:r>
        <w:rPr>
          <w:rFonts w:hint="eastAsia" w:ascii="仿宋_GB2312" w:hAnsi="仿宋_GB2312" w:eastAsia="仿宋_GB2312" w:cs="仿宋_GB2312"/>
          <w:color w:val="auto"/>
          <w:sz w:val="32"/>
          <w:szCs w:val="32"/>
          <w:u w:val="none"/>
          <w:lang w:val="en-US" w:eastAsia="zh-CN"/>
        </w:rPr>
        <w:t>种。提倡使用</w:t>
      </w:r>
      <w:r>
        <w:rPr>
          <w:rFonts w:hint="default" w:ascii="Times New Roman" w:hAnsi="Times New Roman" w:eastAsia="仿宋_GB2312" w:cs="Times New Roman"/>
          <w:color w:val="auto"/>
          <w:sz w:val="32"/>
          <w:szCs w:val="32"/>
          <w:u w:val="none"/>
          <w:lang w:val="en-US" w:eastAsia="zh-CN"/>
        </w:rPr>
        <w:t>BIM、VR、3D</w:t>
      </w:r>
      <w:r>
        <w:rPr>
          <w:rFonts w:hint="eastAsia" w:ascii="仿宋_GB2312" w:hAnsi="仿宋_GB2312" w:eastAsia="仿宋_GB2312" w:cs="仿宋_GB2312"/>
          <w:color w:val="auto"/>
          <w:sz w:val="32"/>
          <w:szCs w:val="32"/>
          <w:u w:val="none"/>
          <w:lang w:val="en-US" w:eastAsia="zh-CN"/>
        </w:rPr>
        <w:t>打印等现代化技术，实现建筑、结构、机电、装修、景观全专业一体化、可视化协同设计，保证设计深度满足施工需要，减少施工过程设计变更。</w:t>
      </w:r>
    </w:p>
    <w:p w14:paraId="718E7DA2">
      <w:pPr>
        <w:pageBreakBefore w:val="0"/>
        <w:kinsoku/>
        <w:wordWrap/>
        <w:topLinePunct w:val="0"/>
        <w:bidi w:val="0"/>
        <w:spacing w:beforeAutospacing="0" w:afterAutospacing="0" w:line="560" w:lineRule="exact"/>
        <w:ind w:left="0" w:leftChars="0" w:firstLine="640" w:firstLineChars="200"/>
        <w:rPr>
          <w:rFonts w:hint="eastAsia" w:ascii="仿宋_GB2312" w:hAnsi="仿宋_GB2312" w:eastAsia="仿宋_GB2312" w:cs="仿宋_GB2312"/>
          <w:b/>
          <w:bCs/>
          <w:color w:val="auto"/>
          <w:sz w:val="32"/>
          <w:szCs w:val="32"/>
          <w:u w:val="none"/>
          <w:lang w:val="en-US" w:eastAsia="zh-CN"/>
        </w:rPr>
      </w:pPr>
      <w:r>
        <w:rPr>
          <w:rFonts w:hint="default" w:ascii="Times New Roman" w:hAnsi="Times New Roman" w:eastAsia="仿宋_GB2312" w:cs="Times New Roman"/>
          <w:b w:val="0"/>
          <w:bCs w:val="0"/>
          <w:color w:val="auto"/>
          <w:sz w:val="32"/>
          <w:szCs w:val="32"/>
          <w:u w:val="none"/>
          <w:lang w:val="en-US" w:eastAsia="zh-CN"/>
        </w:rPr>
        <w:t>3</w:t>
      </w:r>
      <w:r>
        <w:rPr>
          <w:rFonts w:hint="eastAsia" w:ascii="仿宋_GB2312" w:hAnsi="仿宋_GB2312" w:eastAsia="仿宋_GB2312" w:cs="仿宋_GB2312"/>
          <w:b w:val="0"/>
          <w:bCs w:val="0"/>
          <w:color w:val="auto"/>
          <w:sz w:val="32"/>
          <w:szCs w:val="32"/>
          <w:u w:val="none"/>
          <w:lang w:val="en-US" w:eastAsia="zh-CN"/>
        </w:rPr>
        <w:t>．推广绿色施工</w:t>
      </w:r>
    </w:p>
    <w:p w14:paraId="1A9AF162">
      <w:pPr>
        <w:pageBreakBefore w:val="0"/>
        <w:kinsoku/>
        <w:wordWrap/>
        <w:topLinePunct w:val="0"/>
        <w:bidi w:val="0"/>
        <w:spacing w:beforeAutospacing="0" w:afterAutospacing="0" w:line="560" w:lineRule="exact"/>
        <w:ind w:left="0" w:leftChars="0"/>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b/>
          <w:bCs/>
          <w:color w:val="auto"/>
          <w:sz w:val="32"/>
          <w:szCs w:val="32"/>
          <w:u w:val="none"/>
          <w:lang w:val="en-US" w:eastAsia="zh-CN"/>
        </w:rPr>
        <w:t>编制建筑垃圾减量化专项方案。</w:t>
      </w:r>
      <w:r>
        <w:rPr>
          <w:rFonts w:hint="eastAsia" w:ascii="仿宋_GB2312" w:hAnsi="仿宋_GB2312" w:eastAsia="仿宋_GB2312" w:cs="仿宋_GB2312"/>
          <w:color w:val="auto"/>
          <w:sz w:val="32"/>
          <w:szCs w:val="32"/>
          <w:u w:val="none"/>
          <w:lang w:val="en-US" w:eastAsia="zh-CN"/>
        </w:rPr>
        <w:t>施工单位应在项目施工组织设计经监理、业主审核通过后半个月内，按照住房和城乡建设部《施工现场建筑垃圾减量化指导手册（试行）》相关要求，完成项目建筑垃圾减量化专项方案编制，并报送负责监管的行业主管部门备案。专项方案要明确建筑垃圾减量化目标和职责分工，提出源头减量、分类管理、就地处置、排放控制、污染防治的具体措施；建立材料采购、限额领料、建筑垃圾再生利用等管理制度，建立可回收利用物资、材料清单，制定并实施</w:t>
      </w:r>
      <w:r>
        <w:rPr>
          <w:rFonts w:hint="eastAsia" w:ascii="仿宋_GB2312" w:hAnsi="仿宋_GB2312" w:eastAsia="仿宋_GB2312" w:cs="仿宋_GB2312"/>
          <w:color w:val="auto"/>
          <w:spacing w:val="6"/>
          <w:sz w:val="32"/>
          <w:szCs w:val="32"/>
          <w:u w:val="none"/>
          <w:lang w:val="en-US" w:eastAsia="zh-CN"/>
        </w:rPr>
        <w:t>可回收材料的回收管理办法，建立实施记录和影像资料留存制度。</w:t>
      </w:r>
    </w:p>
    <w:p w14:paraId="11AF0C92">
      <w:pPr>
        <w:pageBreakBefore w:val="0"/>
        <w:kinsoku/>
        <w:wordWrap/>
        <w:topLinePunct w:val="0"/>
        <w:bidi w:val="0"/>
        <w:spacing w:beforeAutospacing="0" w:afterAutospacing="0" w:line="560" w:lineRule="exact"/>
        <w:ind w:left="0" w:leftChars="0"/>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b/>
          <w:bCs/>
          <w:color w:val="auto"/>
          <w:sz w:val="32"/>
          <w:szCs w:val="32"/>
          <w:u w:val="none"/>
          <w:lang w:val="en-US" w:eastAsia="zh-CN"/>
        </w:rPr>
        <w:t>做好设计深化和施工组织优化。</w:t>
      </w:r>
      <w:r>
        <w:rPr>
          <w:rFonts w:hint="eastAsia" w:ascii="仿宋_GB2312" w:hAnsi="仿宋_GB2312" w:eastAsia="仿宋_GB2312" w:cs="仿宋_GB2312"/>
          <w:color w:val="auto"/>
          <w:sz w:val="32"/>
          <w:szCs w:val="32"/>
          <w:u w:val="none"/>
          <w:lang w:val="en-US" w:eastAsia="zh-CN"/>
        </w:rPr>
        <w:t>施工单位应结合工程加工、运输、安装方案和施工工艺要求，积极采用</w:t>
      </w:r>
      <w:r>
        <w:rPr>
          <w:rFonts w:hint="default" w:ascii="Times New Roman" w:hAnsi="Times New Roman" w:eastAsia="仿宋_GB2312" w:cs="Times New Roman"/>
          <w:color w:val="auto"/>
          <w:sz w:val="32"/>
          <w:szCs w:val="32"/>
          <w:u w:val="none"/>
          <w:lang w:val="en-US" w:eastAsia="zh-CN"/>
        </w:rPr>
        <w:t>BIM</w:t>
      </w:r>
      <w:r>
        <w:rPr>
          <w:rFonts w:hint="eastAsia" w:ascii="仿宋_GB2312" w:hAnsi="仿宋_GB2312" w:eastAsia="仿宋_GB2312" w:cs="仿宋_GB2312"/>
          <w:color w:val="auto"/>
          <w:sz w:val="32"/>
          <w:szCs w:val="32"/>
          <w:u w:val="none"/>
          <w:lang w:val="en-US" w:eastAsia="zh-CN"/>
        </w:rPr>
        <w:t>等技术，以可视化手段细化节点构造和具体做法。优化施工组织设计，合理确定施工工序，推行数字化加工和信息化管理，鼓励推广应用专业优化下料软件或系统平台，实现精准采购、精准下料，从源头控制材料损耗，推进全过程精细化管理。鼓励推广应用智能工厂化钢筋集中加工模式，降低建筑材料损耗率。</w:t>
      </w:r>
    </w:p>
    <w:p w14:paraId="398C30C8">
      <w:pPr>
        <w:pageBreakBefore w:val="0"/>
        <w:kinsoku/>
        <w:wordWrap/>
        <w:topLinePunct w:val="0"/>
        <w:bidi w:val="0"/>
        <w:spacing w:beforeAutospacing="0" w:afterAutospacing="0" w:line="560" w:lineRule="exact"/>
        <w:ind w:left="0" w:leftChars="0"/>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b/>
          <w:bCs/>
          <w:color w:val="auto"/>
          <w:sz w:val="32"/>
          <w:szCs w:val="32"/>
          <w:u w:val="none"/>
          <w:lang w:val="en-US" w:eastAsia="zh-CN"/>
        </w:rPr>
        <w:t>强化施工过程质量管控。</w:t>
      </w:r>
      <w:r>
        <w:rPr>
          <w:rFonts w:hint="eastAsia" w:ascii="仿宋_GB2312" w:hAnsi="仿宋_GB2312" w:eastAsia="仿宋_GB2312" w:cs="仿宋_GB2312"/>
          <w:color w:val="auto"/>
          <w:sz w:val="32"/>
          <w:szCs w:val="32"/>
          <w:u w:val="none"/>
          <w:lang w:val="en-US" w:eastAsia="zh-CN"/>
        </w:rPr>
        <w:t>加强施工图纸会审，合理安排施工进度，通过提高施工水平、改善施工工艺，减少施工垃圾产生。施工、监理等单位应严格按设计要求控制进场材料和设备的质量，严把施工质量关，强化各工序质量管控，减少因质量问题导致的返工或修补。加强对已完工工程的成品保护，避免二次损坏。</w:t>
      </w:r>
    </w:p>
    <w:p w14:paraId="235928B6">
      <w:pPr>
        <w:pageBreakBefore w:val="0"/>
        <w:kinsoku/>
        <w:wordWrap/>
        <w:topLinePunct w:val="0"/>
        <w:bidi w:val="0"/>
        <w:spacing w:beforeAutospacing="0" w:afterAutospacing="0" w:line="560" w:lineRule="exact"/>
        <w:ind w:left="0" w:leftChars="0"/>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b/>
          <w:bCs/>
          <w:color w:val="auto"/>
          <w:sz w:val="32"/>
          <w:szCs w:val="32"/>
          <w:u w:val="none"/>
          <w:lang w:val="en-US" w:eastAsia="zh-CN"/>
        </w:rPr>
        <w:t>提高临时设施和周转材料的重复利用率。</w:t>
      </w:r>
      <w:r>
        <w:rPr>
          <w:rFonts w:hint="eastAsia" w:ascii="仿宋_GB2312" w:hAnsi="仿宋_GB2312" w:eastAsia="仿宋_GB2312" w:cs="仿宋_GB2312"/>
          <w:color w:val="auto"/>
          <w:sz w:val="32"/>
          <w:szCs w:val="32"/>
          <w:u w:val="none"/>
          <w:lang w:val="en-US" w:eastAsia="zh-CN"/>
        </w:rPr>
        <w:t>施工现场办公用房、宿舍、围挡、大门、工具棚、安全防护栏杆等优先采用装配式、标准化、可回收重复利用率高的设施。鼓励采用工具式脚手架和模板支撑体系，推广应用铝模板、金属防护网、金属通道板、拼装式道路板等周转材料。鼓励采用钢板桩、型钢水泥土搅拌墙、钢支撑等可回收、可循环利用材料作为基坑支护材料。鼓励施工单位在一定区域范围内统筹临时设施和周转材料调配。</w:t>
      </w:r>
    </w:p>
    <w:p w14:paraId="7AAECBEC">
      <w:pPr>
        <w:pageBreakBefore w:val="0"/>
        <w:kinsoku/>
        <w:wordWrap/>
        <w:topLinePunct w:val="0"/>
        <w:bidi w:val="0"/>
        <w:spacing w:beforeAutospacing="0" w:afterAutospacing="0" w:line="560" w:lineRule="exact"/>
        <w:ind w:left="0" w:leftChars="0"/>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b/>
          <w:bCs/>
          <w:color w:val="auto"/>
          <w:sz w:val="32"/>
          <w:szCs w:val="32"/>
          <w:u w:val="none"/>
          <w:lang w:val="en-US" w:eastAsia="zh-CN"/>
        </w:rPr>
        <w:t>推行临时设施和永久性设施的结合利用。</w:t>
      </w:r>
      <w:r>
        <w:rPr>
          <w:rFonts w:hint="eastAsia" w:ascii="仿宋_GB2312" w:hAnsi="仿宋_GB2312" w:eastAsia="仿宋_GB2312" w:cs="仿宋_GB2312"/>
          <w:color w:val="auto"/>
          <w:sz w:val="32"/>
          <w:szCs w:val="32"/>
          <w:u w:val="none"/>
          <w:lang w:val="en-US" w:eastAsia="zh-CN"/>
        </w:rPr>
        <w:t>施工单位应充分考虑施工用消防立管、消防水池、照明线路、道路、围挡等与永久性设施的结合利用，提高可作为永久性设施的临时设施建设标准，减少因拆除临时设施产生的建筑垃圾。</w:t>
      </w:r>
    </w:p>
    <w:p w14:paraId="7B8767A8">
      <w:pPr>
        <w:pageBreakBefore w:val="0"/>
        <w:kinsoku/>
        <w:wordWrap/>
        <w:topLinePunct w:val="0"/>
        <w:bidi w:val="0"/>
        <w:spacing w:beforeAutospacing="0" w:afterAutospacing="0" w:line="560" w:lineRule="exact"/>
        <w:ind w:left="0" w:leftChars="0"/>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b/>
          <w:bCs/>
          <w:color w:val="auto"/>
          <w:sz w:val="32"/>
          <w:szCs w:val="32"/>
          <w:u w:val="none"/>
          <w:lang w:val="en-US" w:eastAsia="zh-CN"/>
        </w:rPr>
        <w:t>实行建筑垃圾分类管理。</w:t>
      </w:r>
      <w:r>
        <w:rPr>
          <w:rFonts w:hint="eastAsia" w:ascii="仿宋_GB2312" w:hAnsi="仿宋_GB2312" w:eastAsia="仿宋_GB2312" w:cs="仿宋_GB2312"/>
          <w:color w:val="auto"/>
          <w:sz w:val="32"/>
          <w:szCs w:val="32"/>
          <w:u w:val="none"/>
          <w:lang w:val="en-US" w:eastAsia="zh-CN"/>
        </w:rPr>
        <w:t>施工单位应按照住房和城乡建设部《施工现场建筑垃圾减量化指导图册（试行）》要求，建立施工现场建筑垃圾分类收集与存放管理制度，实行分类收集、分类存放、分类处置。鼓励以末端处置为导向对建筑垃圾进行细化分类，对剩油漆、剩涂料等有毒有害废弃物封闭分类存放，并设置醒目标识。鼓励利用智慧工地监管平台等信息化手段，对建筑垃圾收集、存放、利用、外运等过程进行实时监管，并建立电子台账。在生活区、办公区按照城市生活垃圾分类要求推行垃圾分类，分别设置可回收垃圾桶与其他垃圾桶，严禁将危险废物和生活垃圾混入建筑垃圾。</w:t>
      </w:r>
    </w:p>
    <w:p w14:paraId="6B43D533">
      <w:pPr>
        <w:pageBreakBefore w:val="0"/>
        <w:kinsoku/>
        <w:wordWrap/>
        <w:topLinePunct w:val="0"/>
        <w:bidi w:val="0"/>
        <w:spacing w:beforeAutospacing="0" w:afterAutospacing="0" w:line="560" w:lineRule="exact"/>
        <w:ind w:left="0" w:leftChars="0"/>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b/>
          <w:bCs/>
          <w:color w:val="auto"/>
          <w:sz w:val="32"/>
          <w:szCs w:val="32"/>
          <w:u w:val="none"/>
          <w:lang w:val="en-US" w:eastAsia="zh-CN"/>
        </w:rPr>
        <w:t>引导施工现场建筑垃圾再利用。</w:t>
      </w:r>
      <w:r>
        <w:rPr>
          <w:rFonts w:hint="eastAsia" w:ascii="仿宋_GB2312" w:hAnsi="仿宋_GB2312" w:eastAsia="仿宋_GB2312" w:cs="仿宋_GB2312"/>
          <w:color w:val="auto"/>
          <w:sz w:val="32"/>
          <w:szCs w:val="32"/>
          <w:u w:val="none"/>
          <w:lang w:val="en-US" w:eastAsia="zh-CN"/>
        </w:rPr>
        <w:t>引导施工现场建筑垃圾再利用，施工单位应充分利用废旧沥青路面、废旧水泥路面冷再生作为沥青面层与基层材料，应用碎石、土石方类等利用材料作为地基和路基回填材料，应用建筑残余物作为路基、混凝土余料浇筑路面。对施工现场不具备就地利用条件的，应按规定及时转运到建筑垃圾处置场所进行资源化处置和再利用。</w:t>
      </w:r>
    </w:p>
    <w:p w14:paraId="69AC9CB2">
      <w:pPr>
        <w:pageBreakBefore w:val="0"/>
        <w:kinsoku/>
        <w:wordWrap/>
        <w:topLinePunct w:val="0"/>
        <w:bidi w:val="0"/>
        <w:spacing w:beforeAutospacing="0" w:afterAutospacing="0" w:line="560" w:lineRule="exact"/>
        <w:ind w:left="0" w:leftChars="0"/>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b/>
          <w:bCs/>
          <w:color w:val="auto"/>
          <w:sz w:val="32"/>
          <w:szCs w:val="32"/>
          <w:u w:val="none"/>
          <w:lang w:val="en-US" w:eastAsia="zh-CN"/>
        </w:rPr>
        <w:t>减少施工现场建筑垃圾排放。</w:t>
      </w:r>
      <w:r>
        <w:rPr>
          <w:rFonts w:hint="eastAsia" w:ascii="仿宋_GB2312" w:hAnsi="仿宋_GB2312" w:eastAsia="仿宋_GB2312" w:cs="仿宋_GB2312"/>
          <w:color w:val="auto"/>
          <w:sz w:val="32"/>
          <w:szCs w:val="32"/>
          <w:u w:val="none"/>
          <w:lang w:val="en-US" w:eastAsia="zh-CN"/>
        </w:rPr>
        <w:t>工程项目施工阶段，施工单位应实时统计并监控建筑垃圾产生量，做好台账记录，并存档备案，及时采取针对性措施降低建筑垃圾排放量。鼓励采用沥青路面就地热再生、水泥路面就地共振碎石化、现场泥沙分离、泥浆脱水预处理等工艺，减少废旧路面材料、工程渣土和工程泥浆排放。加强对外运处理建筑垃圾的运输管理，杜绝擅自倾倒、抛洒行为。</w:t>
      </w:r>
    </w:p>
    <w:p w14:paraId="5BA0FC1D">
      <w:pPr>
        <w:pStyle w:val="25"/>
        <w:pageBreakBefore w:val="0"/>
        <w:kinsoku/>
        <w:wordWrap/>
        <w:topLinePunct w:val="0"/>
        <w:bidi w:val="0"/>
        <w:spacing w:beforeAutospacing="0" w:afterAutospacing="0" w:line="560" w:lineRule="exact"/>
        <w:ind w:left="0" w:leftChars="0"/>
        <w:rPr>
          <w:rFonts w:hint="eastAsia"/>
          <w:color w:val="auto"/>
          <w:u w:val="none"/>
          <w:lang w:val="en-US" w:eastAsia="zh-CN"/>
        </w:rPr>
      </w:pPr>
    </w:p>
    <w:p w14:paraId="0A92CC5F">
      <w:pPr>
        <w:pageBreakBefore w:val="0"/>
        <w:kinsoku/>
        <w:wordWrap/>
        <w:topLinePunct w:val="0"/>
        <w:bidi w:val="0"/>
        <w:spacing w:beforeAutospacing="0" w:afterAutospacing="0" w:line="560" w:lineRule="exact"/>
        <w:ind w:left="0" w:leftChars="0"/>
        <w:rPr>
          <w:rFonts w:hint="eastAsia" w:ascii="Times New Roman" w:hAnsi="Times New Roman"/>
          <w:color w:val="auto"/>
          <w:u w:val="none"/>
          <w:lang w:val="en-US" w:eastAsia="zh-CN"/>
        </w:rPr>
      </w:pPr>
      <w:bookmarkStart w:id="57" w:name="_Toc578"/>
      <w:r>
        <w:rPr>
          <w:rFonts w:hint="eastAsia" w:ascii="Times New Roman" w:hAnsi="Times New Roman"/>
          <w:color w:val="auto"/>
          <w:u w:val="none"/>
          <w:lang w:val="en-US" w:eastAsia="zh-CN"/>
        </w:rPr>
        <w:br w:type="page"/>
      </w:r>
    </w:p>
    <w:p w14:paraId="5E38428D">
      <w:pPr>
        <w:pStyle w:val="2"/>
        <w:pageBreakBefore w:val="0"/>
        <w:kinsoku/>
        <w:wordWrap/>
        <w:topLinePunct w:val="0"/>
        <w:bidi w:val="0"/>
        <w:spacing w:before="0" w:beforeLines="0" w:beforeAutospacing="0" w:after="0" w:afterLines="0" w:afterAutospacing="0" w:line="560" w:lineRule="exact"/>
        <w:ind w:left="0" w:leftChars="0" w:firstLine="640" w:firstLineChars="200"/>
        <w:jc w:val="both"/>
        <w:rPr>
          <w:rFonts w:hint="default" w:ascii="Times New Roman" w:hAnsi="Times New Roman" w:eastAsia="仿宋_GB2312" w:cs="Times New Roman"/>
          <w:color w:val="auto"/>
          <w:sz w:val="32"/>
          <w:szCs w:val="32"/>
          <w:u w:val="none"/>
          <w:lang w:val="en-US" w:eastAsia="zh-CN"/>
        </w:rPr>
      </w:pPr>
      <w:bookmarkStart w:id="58" w:name="_Toc29996"/>
      <w:bookmarkStart w:id="59" w:name="_Toc7578"/>
      <w:r>
        <w:rPr>
          <w:rFonts w:hint="eastAsia" w:ascii="黑体" w:hAnsi="黑体" w:eastAsia="黑体" w:cs="黑体"/>
          <w:b w:val="0"/>
          <w:bCs/>
          <w:color w:val="auto"/>
          <w:sz w:val="32"/>
          <w:szCs w:val="32"/>
          <w:u w:val="none"/>
          <w:lang w:val="en-US" w:eastAsia="zh-CN"/>
        </w:rPr>
        <w:t>六、建筑垃圾收运体系规划</w:t>
      </w:r>
      <w:bookmarkEnd w:id="57"/>
      <w:bookmarkEnd w:id="58"/>
      <w:bookmarkEnd w:id="59"/>
    </w:p>
    <w:p w14:paraId="3EB3E38F">
      <w:pPr>
        <w:pStyle w:val="3"/>
        <w:pageBreakBefore w:val="0"/>
        <w:kinsoku/>
        <w:wordWrap/>
        <w:topLinePunct w:val="0"/>
        <w:bidi w:val="0"/>
        <w:spacing w:beforeAutospacing="0" w:afterAutospacing="0" w:line="560" w:lineRule="exact"/>
        <w:ind w:left="0" w:leftChars="0" w:firstLine="640" w:firstLineChars="200"/>
        <w:rPr>
          <w:rFonts w:hint="default" w:ascii="Times New Roman" w:hAnsi="Times New Roman" w:eastAsia="仿宋_GB2312" w:cs="Times New Roman"/>
          <w:b w:val="0"/>
          <w:bCs w:val="0"/>
          <w:color w:val="auto"/>
          <w:sz w:val="32"/>
          <w:szCs w:val="32"/>
          <w:u w:val="none"/>
          <w:lang w:val="en-US" w:eastAsia="zh-CN"/>
        </w:rPr>
      </w:pPr>
      <w:bookmarkStart w:id="60" w:name="_Toc12441"/>
      <w:bookmarkStart w:id="61" w:name="_Toc1245"/>
      <w:bookmarkStart w:id="62" w:name="_Toc8868"/>
      <w:r>
        <w:rPr>
          <w:rFonts w:hint="eastAsia" w:ascii="楷体_GB2312" w:hAnsi="楷体_GB2312" w:eastAsia="楷体_GB2312" w:cs="楷体_GB2312"/>
          <w:b w:val="0"/>
          <w:bCs w:val="0"/>
          <w:color w:val="auto"/>
          <w:sz w:val="32"/>
          <w:szCs w:val="32"/>
          <w:u w:val="none"/>
          <w:lang w:val="en-US" w:eastAsia="zh-CN"/>
        </w:rPr>
        <w:t>（一）收运要求</w:t>
      </w:r>
      <w:bookmarkEnd w:id="60"/>
      <w:bookmarkEnd w:id="61"/>
      <w:bookmarkEnd w:id="62"/>
    </w:p>
    <w:p w14:paraId="3C9188BB">
      <w:pPr>
        <w:pageBreakBefore w:val="0"/>
        <w:kinsoku/>
        <w:wordWrap/>
        <w:topLinePunct w:val="0"/>
        <w:bidi w:val="0"/>
        <w:spacing w:beforeAutospacing="0" w:afterAutospacing="0" w:line="560" w:lineRule="exact"/>
        <w:ind w:left="0" w:leftChars="0" w:firstLine="640" w:firstLineChars="200"/>
        <w:rPr>
          <w:rFonts w:hint="default" w:ascii="Times New Roman" w:hAnsi="Times New Roman" w:eastAsia="仿宋_GB2312" w:cs="Times New Roman"/>
          <w:b w:val="0"/>
          <w:bCs w:val="0"/>
          <w:color w:val="auto"/>
          <w:sz w:val="32"/>
          <w:szCs w:val="32"/>
          <w:u w:val="none"/>
          <w:lang w:val="en-US" w:eastAsia="zh-CN"/>
        </w:rPr>
      </w:pPr>
      <w:r>
        <w:rPr>
          <w:rFonts w:hint="default" w:ascii="Times New Roman" w:hAnsi="Times New Roman" w:eastAsia="仿宋_GB2312" w:cs="Times New Roman"/>
          <w:b w:val="0"/>
          <w:bCs w:val="0"/>
          <w:color w:val="auto"/>
          <w:sz w:val="32"/>
          <w:szCs w:val="32"/>
          <w:u w:val="none"/>
          <w:lang w:val="en-US" w:eastAsia="zh-CN"/>
        </w:rPr>
        <w:t>1</w:t>
      </w:r>
      <w:r>
        <w:rPr>
          <w:rFonts w:hint="eastAsia" w:ascii="Times New Roman" w:hAnsi="Times New Roman" w:eastAsia="仿宋_GB2312" w:cs="Times New Roman"/>
          <w:b w:val="0"/>
          <w:bCs w:val="0"/>
          <w:color w:val="auto"/>
          <w:sz w:val="32"/>
          <w:szCs w:val="32"/>
          <w:u w:val="none"/>
          <w:lang w:val="en-US" w:eastAsia="zh-CN"/>
        </w:rPr>
        <w:t>．</w:t>
      </w:r>
      <w:r>
        <w:rPr>
          <w:rFonts w:hint="default" w:ascii="Times New Roman" w:hAnsi="Times New Roman" w:eastAsia="仿宋_GB2312" w:cs="Times New Roman"/>
          <w:b w:val="0"/>
          <w:bCs w:val="0"/>
          <w:color w:val="auto"/>
          <w:sz w:val="32"/>
          <w:szCs w:val="32"/>
          <w:u w:val="none"/>
          <w:lang w:val="en-US" w:eastAsia="zh-CN"/>
        </w:rPr>
        <w:t>建筑垃圾分类及收集</w:t>
      </w:r>
    </w:p>
    <w:p w14:paraId="61FC3DD2">
      <w:pPr>
        <w:pageBreakBefore w:val="0"/>
        <w:kinsoku/>
        <w:wordWrap/>
        <w:topLinePunct w:val="0"/>
        <w:bidi w:val="0"/>
        <w:spacing w:beforeAutospacing="0" w:afterAutospacing="0" w:line="560" w:lineRule="exact"/>
        <w:ind w:left="0" w:leftChars="0" w:firstLine="640" w:firstLineChars="200"/>
        <w:rPr>
          <w:rFonts w:hint="default" w:ascii="Times New Roman" w:hAnsi="Times New Roman" w:eastAsia="仿宋_GB2312" w:cs="Times New Roman"/>
          <w:b w:val="0"/>
          <w:bCs w:val="0"/>
          <w:color w:val="auto"/>
          <w:sz w:val="32"/>
          <w:szCs w:val="32"/>
          <w:u w:val="none"/>
          <w:lang w:val="en-US" w:eastAsia="zh-CN"/>
        </w:rPr>
      </w:pPr>
      <w:r>
        <w:rPr>
          <w:rFonts w:hint="eastAsia" w:ascii="Times New Roman" w:hAnsi="Times New Roman" w:eastAsia="仿宋_GB2312" w:cs="Times New Roman"/>
          <w:b w:val="0"/>
          <w:bCs w:val="0"/>
          <w:color w:val="auto"/>
          <w:sz w:val="32"/>
          <w:szCs w:val="32"/>
          <w:u w:val="none"/>
          <w:lang w:val="en-US" w:eastAsia="zh-CN"/>
        </w:rPr>
        <w:t>（</w:t>
      </w:r>
      <w:r>
        <w:rPr>
          <w:rFonts w:hint="default" w:ascii="Times New Roman" w:hAnsi="Times New Roman" w:eastAsia="仿宋_GB2312" w:cs="Times New Roman"/>
          <w:b w:val="0"/>
          <w:bCs w:val="0"/>
          <w:color w:val="auto"/>
          <w:sz w:val="32"/>
          <w:szCs w:val="32"/>
          <w:u w:val="none"/>
          <w:lang w:val="en-US" w:eastAsia="zh-CN"/>
        </w:rPr>
        <w:t>1</w:t>
      </w:r>
      <w:r>
        <w:rPr>
          <w:rFonts w:hint="eastAsia" w:ascii="Times New Roman" w:hAnsi="Times New Roman" w:eastAsia="仿宋_GB2312" w:cs="Times New Roman"/>
          <w:b w:val="0"/>
          <w:bCs w:val="0"/>
          <w:color w:val="auto"/>
          <w:sz w:val="32"/>
          <w:szCs w:val="32"/>
          <w:u w:val="none"/>
          <w:lang w:val="en-US" w:eastAsia="zh-CN"/>
        </w:rPr>
        <w:t>）</w:t>
      </w:r>
      <w:r>
        <w:rPr>
          <w:rFonts w:hint="default" w:ascii="Times New Roman" w:hAnsi="Times New Roman" w:eastAsia="仿宋_GB2312" w:cs="Times New Roman"/>
          <w:b w:val="0"/>
          <w:bCs w:val="0"/>
          <w:color w:val="auto"/>
          <w:sz w:val="32"/>
          <w:szCs w:val="32"/>
          <w:u w:val="none"/>
          <w:lang w:val="en-US" w:eastAsia="zh-CN"/>
        </w:rPr>
        <w:t>一般要求</w:t>
      </w:r>
    </w:p>
    <w:p w14:paraId="13805D5D">
      <w:pPr>
        <w:pageBreakBefore w:val="0"/>
        <w:kinsoku/>
        <w:wordWrap/>
        <w:topLinePunct w:val="0"/>
        <w:bidi w:val="0"/>
        <w:spacing w:beforeAutospacing="0" w:afterAutospacing="0" w:line="560" w:lineRule="exact"/>
        <w:ind w:left="0" w:leftChars="0" w:firstLine="640" w:firstLineChars="200"/>
        <w:rPr>
          <w:rFonts w:hint="default" w:ascii="Times New Roman" w:hAnsi="Times New Roman" w:eastAsia="仿宋_GB2312" w:cs="Times New Roman"/>
          <w:b w:val="0"/>
          <w:bCs w:val="0"/>
          <w:color w:val="auto"/>
          <w:sz w:val="32"/>
          <w:szCs w:val="32"/>
          <w:u w:val="none"/>
          <w:lang w:val="en-US" w:eastAsia="zh-CN"/>
        </w:rPr>
      </w:pPr>
      <w:r>
        <w:rPr>
          <w:rFonts w:hint="default" w:ascii="Times New Roman" w:hAnsi="Times New Roman" w:eastAsia="仿宋_GB2312" w:cs="Times New Roman"/>
          <w:b w:val="0"/>
          <w:bCs w:val="0"/>
          <w:color w:val="auto"/>
          <w:sz w:val="32"/>
          <w:szCs w:val="32"/>
          <w:u w:val="none"/>
          <w:lang w:val="en-US" w:eastAsia="zh-CN"/>
        </w:rPr>
        <w:t>①根据实际情况，采用</w:t>
      </w:r>
      <w:r>
        <w:rPr>
          <w:rFonts w:hint="eastAsia" w:ascii="仿宋_GB2312" w:hAnsi="仿宋_GB2312" w:eastAsia="仿宋_GB2312" w:cs="仿宋_GB2312"/>
          <w:b w:val="0"/>
          <w:bCs w:val="0"/>
          <w:color w:val="auto"/>
          <w:sz w:val="32"/>
          <w:szCs w:val="32"/>
          <w:u w:val="none"/>
          <w:lang w:val="en-US" w:eastAsia="zh-CN"/>
        </w:rPr>
        <w:t>“</w:t>
      </w:r>
      <w:r>
        <w:rPr>
          <w:rFonts w:hint="default" w:ascii="Times New Roman" w:hAnsi="Times New Roman" w:eastAsia="仿宋_GB2312" w:cs="Times New Roman"/>
          <w:b w:val="0"/>
          <w:bCs w:val="0"/>
          <w:color w:val="auto"/>
          <w:sz w:val="32"/>
          <w:szCs w:val="32"/>
          <w:u w:val="none"/>
          <w:lang w:val="en-US" w:eastAsia="zh-CN"/>
        </w:rPr>
        <w:t>源头分类集中，直运为主，转运为辅</w:t>
      </w:r>
      <w:r>
        <w:rPr>
          <w:rFonts w:hint="eastAsia" w:ascii="仿宋_GB2312" w:hAnsi="仿宋_GB2312" w:eastAsia="仿宋_GB2312" w:cs="仿宋_GB2312"/>
          <w:b w:val="0"/>
          <w:bCs w:val="0"/>
          <w:color w:val="auto"/>
          <w:sz w:val="32"/>
          <w:szCs w:val="32"/>
          <w:u w:val="none"/>
          <w:lang w:val="en-US" w:eastAsia="zh-CN"/>
        </w:rPr>
        <w:t>”</w:t>
      </w:r>
      <w:r>
        <w:rPr>
          <w:rFonts w:hint="default" w:ascii="Times New Roman" w:hAnsi="Times New Roman" w:eastAsia="仿宋_GB2312" w:cs="Times New Roman"/>
          <w:b w:val="0"/>
          <w:bCs w:val="0"/>
          <w:color w:val="auto"/>
          <w:sz w:val="32"/>
          <w:szCs w:val="32"/>
          <w:u w:val="none"/>
          <w:lang w:val="en-US" w:eastAsia="zh-CN"/>
        </w:rPr>
        <w:t>的收运模式，使建筑垃圾能及时的收集、运输、处理，从而进一步提升城市的市容市貌。</w:t>
      </w:r>
    </w:p>
    <w:p w14:paraId="2B955493">
      <w:pPr>
        <w:pageBreakBefore w:val="0"/>
        <w:kinsoku/>
        <w:wordWrap/>
        <w:topLinePunct w:val="0"/>
        <w:bidi w:val="0"/>
        <w:spacing w:beforeAutospacing="0" w:afterAutospacing="0" w:line="560" w:lineRule="exact"/>
        <w:ind w:left="0" w:leftChars="0" w:firstLine="640" w:firstLineChars="200"/>
        <w:rPr>
          <w:rFonts w:hint="default" w:ascii="Times New Roman" w:hAnsi="Times New Roman" w:eastAsia="仿宋_GB2312" w:cs="Times New Roman"/>
          <w:b w:val="0"/>
          <w:bCs w:val="0"/>
          <w:color w:val="auto"/>
          <w:sz w:val="32"/>
          <w:szCs w:val="32"/>
          <w:u w:val="none"/>
          <w:lang w:val="en-US" w:eastAsia="zh-CN"/>
        </w:rPr>
      </w:pPr>
      <w:r>
        <w:rPr>
          <w:rFonts w:hint="default" w:ascii="Times New Roman" w:hAnsi="Times New Roman" w:eastAsia="仿宋_GB2312" w:cs="Times New Roman"/>
          <w:b w:val="0"/>
          <w:bCs w:val="0"/>
          <w:color w:val="auto"/>
          <w:sz w:val="32"/>
          <w:szCs w:val="32"/>
          <w:u w:val="none"/>
          <w:lang w:val="en-US" w:eastAsia="zh-CN"/>
        </w:rPr>
        <w:t>②建筑垃圾分类收集应遵循利于资源化的原则。</w:t>
      </w:r>
    </w:p>
    <w:p w14:paraId="284BDAA4">
      <w:pPr>
        <w:pageBreakBefore w:val="0"/>
        <w:kinsoku/>
        <w:wordWrap/>
        <w:topLinePunct w:val="0"/>
        <w:bidi w:val="0"/>
        <w:spacing w:beforeAutospacing="0" w:afterAutospacing="0" w:line="560" w:lineRule="exact"/>
        <w:ind w:left="0" w:leftChars="0" w:firstLine="640" w:firstLineChars="200"/>
        <w:rPr>
          <w:rFonts w:hint="default" w:ascii="Times New Roman" w:hAnsi="Times New Roman" w:eastAsia="仿宋_GB2312" w:cs="Times New Roman"/>
          <w:b w:val="0"/>
          <w:bCs w:val="0"/>
          <w:color w:val="auto"/>
          <w:sz w:val="32"/>
          <w:szCs w:val="32"/>
          <w:u w:val="none"/>
          <w:lang w:val="en-US" w:eastAsia="zh-CN"/>
        </w:rPr>
      </w:pPr>
      <w:r>
        <w:rPr>
          <w:rFonts w:hint="default" w:ascii="Times New Roman" w:hAnsi="Times New Roman" w:eastAsia="仿宋_GB2312" w:cs="Times New Roman"/>
          <w:b w:val="0"/>
          <w:bCs w:val="0"/>
          <w:color w:val="auto"/>
          <w:sz w:val="32"/>
          <w:szCs w:val="32"/>
          <w:u w:val="none"/>
          <w:lang w:val="en-US" w:eastAsia="zh-CN"/>
        </w:rPr>
        <w:t>③施工组织设计应制订建筑垃圾分类收集方案包括建筑垃圾产生量预测、具体分类堆放场地布置、收集设施配置等内容。</w:t>
      </w:r>
    </w:p>
    <w:p w14:paraId="650D9728">
      <w:pPr>
        <w:pageBreakBefore w:val="0"/>
        <w:kinsoku/>
        <w:wordWrap/>
        <w:topLinePunct w:val="0"/>
        <w:bidi w:val="0"/>
        <w:spacing w:beforeAutospacing="0" w:afterAutospacing="0" w:line="560" w:lineRule="exact"/>
        <w:ind w:left="0" w:leftChars="0" w:firstLine="640" w:firstLineChars="200"/>
        <w:rPr>
          <w:rFonts w:hint="default" w:ascii="Times New Roman" w:hAnsi="Times New Roman" w:eastAsia="仿宋_GB2312" w:cs="Times New Roman"/>
          <w:b w:val="0"/>
          <w:bCs w:val="0"/>
          <w:color w:val="auto"/>
          <w:sz w:val="32"/>
          <w:szCs w:val="32"/>
          <w:u w:val="none"/>
          <w:lang w:val="en-US" w:eastAsia="zh-CN"/>
        </w:rPr>
      </w:pPr>
      <w:r>
        <w:rPr>
          <w:rFonts w:hint="default" w:ascii="Times New Roman" w:hAnsi="Times New Roman" w:eastAsia="仿宋_GB2312" w:cs="Times New Roman"/>
          <w:b w:val="0"/>
          <w:bCs w:val="0"/>
          <w:color w:val="auto"/>
          <w:sz w:val="32"/>
          <w:szCs w:val="32"/>
          <w:u w:val="none"/>
          <w:lang w:val="en-US" w:eastAsia="zh-CN"/>
        </w:rPr>
        <w:t>④建筑垃圾宜就地分类收集，应在一定区域内固定位置结合建筑垃圾预测量，按所分类别规划堆放场地，配置建筑垃圾</w:t>
      </w:r>
      <w:r>
        <w:rPr>
          <w:rFonts w:hint="default" w:ascii="Times New Roman" w:hAnsi="Times New Roman" w:eastAsia="仿宋_GB2312" w:cs="Times New Roman"/>
          <w:b w:val="0"/>
          <w:bCs w:val="0"/>
          <w:color w:val="auto"/>
          <w:spacing w:val="6"/>
          <w:sz w:val="32"/>
          <w:szCs w:val="32"/>
          <w:u w:val="none"/>
          <w:lang w:val="en-US" w:eastAsia="zh-CN"/>
        </w:rPr>
        <w:t>收集设施，工程垃圾、拆除垃圾临时堆放区的贮存能力不宜低于3天，应设置明显清晰的标志，并应符合相关安全条例的规定。</w:t>
      </w:r>
    </w:p>
    <w:p w14:paraId="02F02442">
      <w:pPr>
        <w:pageBreakBefore w:val="0"/>
        <w:kinsoku/>
        <w:wordWrap/>
        <w:topLinePunct w:val="0"/>
        <w:bidi w:val="0"/>
        <w:spacing w:beforeAutospacing="0" w:afterAutospacing="0" w:line="560" w:lineRule="exact"/>
        <w:ind w:left="0" w:leftChars="0" w:firstLine="640" w:firstLineChars="200"/>
        <w:rPr>
          <w:rFonts w:hint="default" w:ascii="Times New Roman" w:hAnsi="Times New Roman" w:eastAsia="仿宋_GB2312" w:cs="Times New Roman"/>
          <w:b w:val="0"/>
          <w:bCs w:val="0"/>
          <w:color w:val="auto"/>
          <w:sz w:val="32"/>
          <w:szCs w:val="32"/>
          <w:u w:val="none"/>
          <w:lang w:val="en-US" w:eastAsia="zh-CN"/>
        </w:rPr>
      </w:pPr>
      <w:r>
        <w:rPr>
          <w:rFonts w:hint="default" w:ascii="Times New Roman" w:hAnsi="Times New Roman" w:eastAsia="仿宋_GB2312" w:cs="Times New Roman"/>
          <w:b w:val="0"/>
          <w:bCs w:val="0"/>
          <w:color w:val="auto"/>
          <w:sz w:val="32"/>
          <w:szCs w:val="32"/>
          <w:u w:val="none"/>
          <w:lang w:val="en-US" w:eastAsia="zh-CN"/>
        </w:rPr>
        <w:t>⑤建筑垃圾堆场应采取扬尘防控措施。</w:t>
      </w:r>
    </w:p>
    <w:p w14:paraId="6E6C294B">
      <w:pPr>
        <w:pageBreakBefore w:val="0"/>
        <w:kinsoku/>
        <w:wordWrap/>
        <w:topLinePunct w:val="0"/>
        <w:bidi w:val="0"/>
        <w:spacing w:beforeAutospacing="0" w:afterAutospacing="0" w:line="560" w:lineRule="exact"/>
        <w:ind w:left="0" w:leftChars="0" w:firstLine="640" w:firstLineChars="200"/>
        <w:rPr>
          <w:rFonts w:hint="default" w:ascii="Times New Roman" w:hAnsi="Times New Roman" w:eastAsia="仿宋_GB2312" w:cs="Times New Roman"/>
          <w:b w:val="0"/>
          <w:bCs w:val="0"/>
          <w:color w:val="auto"/>
          <w:sz w:val="32"/>
          <w:szCs w:val="32"/>
          <w:u w:val="none"/>
          <w:lang w:val="en-US" w:eastAsia="zh-CN"/>
        </w:rPr>
      </w:pPr>
      <w:r>
        <w:rPr>
          <w:rFonts w:hint="default" w:ascii="Times New Roman" w:hAnsi="Times New Roman" w:eastAsia="仿宋_GB2312" w:cs="Times New Roman"/>
          <w:b w:val="0"/>
          <w:bCs w:val="0"/>
          <w:color w:val="auto"/>
          <w:sz w:val="32"/>
          <w:szCs w:val="32"/>
          <w:u w:val="none"/>
          <w:lang w:val="en-US" w:eastAsia="zh-CN"/>
        </w:rPr>
        <w:t>⑥应按分类收集情况进行建筑垃圾分类运输，不得混装。</w:t>
      </w:r>
    </w:p>
    <w:p w14:paraId="65F3E623">
      <w:pPr>
        <w:pageBreakBefore w:val="0"/>
        <w:kinsoku/>
        <w:wordWrap/>
        <w:topLinePunct w:val="0"/>
        <w:bidi w:val="0"/>
        <w:spacing w:beforeAutospacing="0" w:afterAutospacing="0" w:line="560" w:lineRule="exact"/>
        <w:ind w:left="0" w:leftChars="0" w:firstLine="640" w:firstLineChars="200"/>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b w:val="0"/>
          <w:bCs w:val="0"/>
          <w:color w:val="auto"/>
          <w:sz w:val="32"/>
          <w:szCs w:val="32"/>
          <w:u w:val="none"/>
          <w:lang w:val="en-US" w:eastAsia="zh-CN"/>
        </w:rPr>
        <w:t>⑦建筑垃圾在</w:t>
      </w:r>
      <w:r>
        <w:rPr>
          <w:rFonts w:hint="default" w:ascii="Times New Roman" w:hAnsi="Times New Roman" w:eastAsia="仿宋_GB2312" w:cs="Times New Roman"/>
          <w:sz w:val="32"/>
          <w:szCs w:val="32"/>
          <w:lang w:val="en-US" w:eastAsia="zh-CN"/>
        </w:rPr>
        <w:t>分类收集的过程中，不得混入生活垃圾、工业垃圾和危险废物。</w:t>
      </w:r>
    </w:p>
    <w:p w14:paraId="575D7A8D">
      <w:pPr>
        <w:pageBreakBefore w:val="0"/>
        <w:kinsoku/>
        <w:wordWrap/>
        <w:topLinePunct w:val="0"/>
        <w:bidi w:val="0"/>
        <w:spacing w:beforeAutospacing="0" w:afterAutospacing="0" w:line="560" w:lineRule="exact"/>
        <w:ind w:left="0" w:leftChars="0" w:firstLine="640" w:firstLineChars="200"/>
        <w:rPr>
          <w:rFonts w:hint="default" w:ascii="Times New Roman" w:hAnsi="Times New Roman" w:eastAsia="仿宋_GB2312" w:cs="Times New Roman"/>
          <w:b/>
          <w:bCs/>
          <w:color w:val="auto"/>
          <w:sz w:val="32"/>
          <w:szCs w:val="32"/>
          <w:u w:val="none"/>
          <w:lang w:val="en-US" w:eastAsia="zh-CN"/>
        </w:rPr>
      </w:pPr>
      <w:r>
        <w:rPr>
          <w:rFonts w:hint="default" w:ascii="Times New Roman" w:hAnsi="Times New Roman" w:eastAsia="仿宋_GB2312" w:cs="Times New Roman"/>
          <w:b w:val="0"/>
          <w:bCs w:val="0"/>
          <w:color w:val="auto"/>
          <w:sz w:val="32"/>
          <w:szCs w:val="32"/>
          <w:u w:val="none"/>
          <w:lang w:val="en-US" w:eastAsia="zh-CN"/>
        </w:rPr>
        <w:t>（2）工程渣土</w:t>
      </w:r>
    </w:p>
    <w:p w14:paraId="0377C52F">
      <w:pPr>
        <w:pageBreakBefore w:val="0"/>
        <w:kinsoku/>
        <w:wordWrap/>
        <w:topLinePunct w:val="0"/>
        <w:bidi w:val="0"/>
        <w:spacing w:beforeAutospacing="0" w:afterAutospacing="0" w:line="560" w:lineRule="exact"/>
        <w:ind w:left="0" w:leftChars="0" w:firstLine="640" w:firstLineChars="200"/>
        <w:rPr>
          <w:rFonts w:hint="default" w:ascii="Times New Roman" w:hAnsi="Times New Roman" w:eastAsia="仿宋_GB2312" w:cs="Times New Roman"/>
          <w:b w:val="0"/>
          <w:bCs w:val="0"/>
          <w:color w:val="auto"/>
          <w:sz w:val="32"/>
          <w:szCs w:val="32"/>
          <w:u w:val="none"/>
          <w:lang w:val="en-US" w:eastAsia="zh-CN"/>
        </w:rPr>
      </w:pPr>
      <w:r>
        <w:rPr>
          <w:rFonts w:hint="default" w:ascii="Times New Roman" w:hAnsi="Times New Roman" w:eastAsia="仿宋_GB2312" w:cs="Times New Roman"/>
          <w:b w:val="0"/>
          <w:bCs w:val="0"/>
          <w:color w:val="auto"/>
          <w:sz w:val="32"/>
          <w:szCs w:val="32"/>
          <w:u w:val="none"/>
          <w:lang w:val="en-US" w:eastAsia="zh-CN"/>
        </w:rPr>
        <w:t>①工程渣土按产生源可分为基坑、沟槽、路床开挖渣土及隧道开挖渣土。</w:t>
      </w:r>
    </w:p>
    <w:p w14:paraId="1B513146">
      <w:pPr>
        <w:pageBreakBefore w:val="0"/>
        <w:kinsoku/>
        <w:wordWrap/>
        <w:topLinePunct w:val="0"/>
        <w:bidi w:val="0"/>
        <w:spacing w:beforeAutospacing="0" w:afterAutospacing="0" w:line="560" w:lineRule="exact"/>
        <w:ind w:left="0" w:leftChars="0" w:firstLine="640" w:firstLineChars="200"/>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b w:val="0"/>
          <w:bCs w:val="0"/>
          <w:color w:val="auto"/>
          <w:sz w:val="32"/>
          <w:szCs w:val="32"/>
          <w:u w:val="none"/>
          <w:lang w:val="en-US" w:eastAsia="zh-CN"/>
        </w:rPr>
        <w:t>②工程项目宜</w:t>
      </w:r>
      <w:r>
        <w:rPr>
          <w:rFonts w:hint="default" w:ascii="Times New Roman" w:hAnsi="Times New Roman" w:eastAsia="仿宋_GB2312" w:cs="Times New Roman"/>
          <w:color w:val="auto"/>
          <w:sz w:val="32"/>
          <w:szCs w:val="32"/>
          <w:u w:val="none"/>
          <w:lang w:val="en-US" w:eastAsia="zh-CN"/>
        </w:rPr>
        <w:t>结合工程渣土的性能评价结果、资源化出路、市场需求制订各自工程渣土分类收集方案。</w:t>
      </w:r>
    </w:p>
    <w:p w14:paraId="3EA00C0B">
      <w:pPr>
        <w:pageBreakBefore w:val="0"/>
        <w:kinsoku/>
        <w:wordWrap/>
        <w:topLinePunct w:val="0"/>
        <w:bidi w:val="0"/>
        <w:spacing w:beforeAutospacing="0" w:afterAutospacing="0" w:line="560" w:lineRule="exact"/>
        <w:ind w:left="0" w:leftChars="0" w:firstLine="640" w:firstLineChars="200"/>
        <w:rPr>
          <w:rFonts w:hint="default" w:ascii="Times New Roman" w:hAnsi="Times New Roman" w:eastAsia="仿宋_GB2312" w:cs="Times New Roman"/>
          <w:b w:val="0"/>
          <w:bCs w:val="0"/>
          <w:color w:val="auto"/>
          <w:sz w:val="32"/>
          <w:szCs w:val="32"/>
          <w:u w:val="none"/>
          <w:lang w:val="en-US" w:eastAsia="zh-CN"/>
        </w:rPr>
      </w:pPr>
      <w:r>
        <w:rPr>
          <w:rFonts w:hint="default" w:ascii="Times New Roman" w:hAnsi="Times New Roman" w:eastAsia="仿宋_GB2312" w:cs="Times New Roman"/>
          <w:b w:val="0"/>
          <w:bCs w:val="0"/>
          <w:color w:val="auto"/>
          <w:sz w:val="32"/>
          <w:szCs w:val="32"/>
          <w:u w:val="none"/>
          <w:lang w:val="en-US" w:eastAsia="zh-CN"/>
        </w:rPr>
        <w:t>③工程渣土可就地堆放或直接外运。</w:t>
      </w:r>
    </w:p>
    <w:p w14:paraId="46B1EB58">
      <w:pPr>
        <w:pageBreakBefore w:val="0"/>
        <w:kinsoku/>
        <w:wordWrap/>
        <w:topLinePunct w:val="0"/>
        <w:bidi w:val="0"/>
        <w:spacing w:beforeAutospacing="0" w:afterAutospacing="0" w:line="560" w:lineRule="exact"/>
        <w:ind w:left="0" w:leftChars="0" w:firstLine="640" w:firstLineChars="200"/>
        <w:rPr>
          <w:rFonts w:hint="default" w:ascii="Times New Roman" w:hAnsi="Times New Roman" w:eastAsia="仿宋_GB2312" w:cs="Times New Roman"/>
          <w:b w:val="0"/>
          <w:bCs w:val="0"/>
          <w:color w:val="auto"/>
          <w:sz w:val="32"/>
          <w:szCs w:val="32"/>
          <w:u w:val="none"/>
          <w:lang w:val="en-US" w:eastAsia="zh-CN"/>
        </w:rPr>
      </w:pPr>
      <w:r>
        <w:rPr>
          <w:rFonts w:hint="default" w:ascii="Times New Roman" w:hAnsi="Times New Roman" w:eastAsia="仿宋_GB2312" w:cs="Times New Roman"/>
          <w:b w:val="0"/>
          <w:bCs w:val="0"/>
          <w:color w:val="auto"/>
          <w:sz w:val="32"/>
          <w:szCs w:val="32"/>
          <w:u w:val="none"/>
          <w:lang w:val="en-US" w:eastAsia="zh-CN"/>
        </w:rPr>
        <w:t>④工程渣土中混入砖、石、混凝土时，宜现场进行筛分，将工程渣土与砖、石、混凝土分离后收集。</w:t>
      </w:r>
    </w:p>
    <w:p w14:paraId="41C8D461">
      <w:pPr>
        <w:pageBreakBefore w:val="0"/>
        <w:kinsoku/>
        <w:wordWrap/>
        <w:topLinePunct w:val="0"/>
        <w:bidi w:val="0"/>
        <w:spacing w:beforeAutospacing="0" w:afterAutospacing="0" w:line="560" w:lineRule="exact"/>
        <w:ind w:left="0" w:leftChars="0" w:firstLine="640" w:firstLineChars="200"/>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b w:val="0"/>
          <w:bCs w:val="0"/>
          <w:color w:val="auto"/>
          <w:sz w:val="32"/>
          <w:szCs w:val="32"/>
          <w:u w:val="none"/>
          <w:lang w:val="en-US" w:eastAsia="zh-CN"/>
        </w:rPr>
        <w:t>⑤工程</w:t>
      </w:r>
      <w:r>
        <w:rPr>
          <w:rFonts w:hint="default" w:ascii="Times New Roman" w:hAnsi="Times New Roman" w:eastAsia="仿宋_GB2312" w:cs="Times New Roman"/>
          <w:color w:val="auto"/>
          <w:sz w:val="32"/>
          <w:szCs w:val="32"/>
          <w:u w:val="none"/>
          <w:lang w:val="en-US" w:eastAsia="zh-CN"/>
        </w:rPr>
        <w:t>渣土就地堆放应采取风险管控措施，大体量或长期堆放时应编制专项技术方案。工程渣土堆放位置应与建筑、基坑等保持安全距离，并采取扬尘防控措施。应严格控制堆放高度，长期堆放时应设置排水通道。</w:t>
      </w:r>
    </w:p>
    <w:p w14:paraId="25CFD22D">
      <w:pPr>
        <w:pageBreakBefore w:val="0"/>
        <w:kinsoku/>
        <w:wordWrap/>
        <w:topLinePunct w:val="0"/>
        <w:bidi w:val="0"/>
        <w:spacing w:beforeAutospacing="0" w:afterAutospacing="0" w:line="560" w:lineRule="exact"/>
        <w:ind w:left="0" w:leftChars="0" w:firstLine="640" w:firstLineChars="200"/>
        <w:rPr>
          <w:rFonts w:hint="default" w:ascii="Times New Roman" w:hAnsi="Times New Roman" w:eastAsia="仿宋_GB2312" w:cs="Times New Roman"/>
          <w:b/>
          <w:bCs/>
          <w:color w:val="auto"/>
          <w:sz w:val="32"/>
          <w:szCs w:val="32"/>
          <w:u w:val="none"/>
          <w:lang w:val="en-US" w:eastAsia="zh-CN"/>
        </w:rPr>
      </w:pPr>
      <w:r>
        <w:rPr>
          <w:rFonts w:hint="default" w:ascii="Times New Roman" w:hAnsi="Times New Roman" w:eastAsia="仿宋_GB2312" w:cs="Times New Roman"/>
          <w:b w:val="0"/>
          <w:bCs w:val="0"/>
          <w:color w:val="auto"/>
          <w:sz w:val="32"/>
          <w:szCs w:val="32"/>
          <w:u w:val="none"/>
          <w:lang w:val="en-US" w:eastAsia="zh-CN"/>
        </w:rPr>
        <w:t>（3）工程泥浆</w:t>
      </w:r>
    </w:p>
    <w:p w14:paraId="76351EBA">
      <w:pPr>
        <w:pageBreakBefore w:val="0"/>
        <w:kinsoku/>
        <w:wordWrap/>
        <w:topLinePunct w:val="0"/>
        <w:bidi w:val="0"/>
        <w:spacing w:beforeAutospacing="0" w:afterAutospacing="0" w:line="560" w:lineRule="exact"/>
        <w:ind w:left="0" w:leftChars="0" w:firstLine="640" w:firstLineChars="200"/>
        <w:rPr>
          <w:rFonts w:hint="default" w:ascii="Times New Roman" w:hAnsi="Times New Roman" w:eastAsia="仿宋_GB2312" w:cs="Times New Roman"/>
          <w:b w:val="0"/>
          <w:bCs w:val="0"/>
          <w:color w:val="auto"/>
          <w:sz w:val="32"/>
          <w:szCs w:val="32"/>
          <w:u w:val="none"/>
          <w:lang w:val="en-US" w:eastAsia="zh-CN"/>
        </w:rPr>
      </w:pPr>
      <w:r>
        <w:rPr>
          <w:rFonts w:hint="default" w:ascii="Times New Roman" w:hAnsi="Times New Roman" w:eastAsia="仿宋_GB2312" w:cs="Times New Roman"/>
          <w:b w:val="0"/>
          <w:bCs w:val="0"/>
          <w:color w:val="auto"/>
          <w:sz w:val="32"/>
          <w:szCs w:val="32"/>
          <w:u w:val="none"/>
          <w:lang w:val="en-US" w:eastAsia="zh-CN"/>
        </w:rPr>
        <w:t>①工程泥浆按产生源可分为钻孔桩基泥浆、地下连续墙成槽泥浆、泥水加压平衡盾构施工泥浆、水平定向钻机泥水顶管泥浆和其他类工程泥浆。</w:t>
      </w:r>
    </w:p>
    <w:p w14:paraId="7A9F1207">
      <w:pPr>
        <w:pageBreakBefore w:val="0"/>
        <w:kinsoku/>
        <w:wordWrap/>
        <w:topLinePunct w:val="0"/>
        <w:bidi w:val="0"/>
        <w:spacing w:beforeAutospacing="0" w:afterAutospacing="0" w:line="560" w:lineRule="exact"/>
        <w:ind w:left="0" w:leftChars="0" w:firstLine="640" w:firstLineChars="200"/>
        <w:rPr>
          <w:rFonts w:hint="default" w:ascii="Times New Roman" w:hAnsi="Times New Roman" w:eastAsia="仿宋_GB2312" w:cs="Times New Roman"/>
          <w:b w:val="0"/>
          <w:bCs w:val="0"/>
          <w:color w:val="auto"/>
          <w:sz w:val="32"/>
          <w:szCs w:val="32"/>
          <w:u w:val="none"/>
          <w:lang w:val="en-US" w:eastAsia="zh-CN"/>
        </w:rPr>
      </w:pPr>
      <w:r>
        <w:rPr>
          <w:rFonts w:hint="default" w:ascii="Times New Roman" w:hAnsi="Times New Roman" w:eastAsia="仿宋_GB2312" w:cs="Times New Roman"/>
          <w:b w:val="0"/>
          <w:bCs w:val="0"/>
          <w:color w:val="auto"/>
          <w:sz w:val="32"/>
          <w:szCs w:val="32"/>
          <w:u w:val="none"/>
          <w:lang w:val="en-US" w:eastAsia="zh-CN"/>
        </w:rPr>
        <w:t>②工程泥浆的分类收集应做到减量化、稳定化、无害化。</w:t>
      </w:r>
    </w:p>
    <w:p w14:paraId="4351F591">
      <w:pPr>
        <w:pageBreakBefore w:val="0"/>
        <w:kinsoku/>
        <w:wordWrap/>
        <w:topLinePunct w:val="0"/>
        <w:bidi w:val="0"/>
        <w:spacing w:beforeAutospacing="0" w:afterAutospacing="0" w:line="560" w:lineRule="exact"/>
        <w:ind w:left="0" w:leftChars="0" w:firstLine="640" w:firstLineChars="200"/>
        <w:rPr>
          <w:rFonts w:hint="default" w:ascii="Times New Roman" w:hAnsi="Times New Roman" w:eastAsia="仿宋_GB2312" w:cs="Times New Roman"/>
          <w:b w:val="0"/>
          <w:bCs w:val="0"/>
          <w:color w:val="auto"/>
          <w:sz w:val="32"/>
          <w:szCs w:val="32"/>
          <w:u w:val="none"/>
          <w:lang w:val="en-US" w:eastAsia="zh-CN"/>
        </w:rPr>
      </w:pPr>
      <w:r>
        <w:rPr>
          <w:rFonts w:hint="default" w:ascii="Times New Roman" w:hAnsi="Times New Roman" w:eastAsia="仿宋_GB2312" w:cs="Times New Roman"/>
          <w:b w:val="0"/>
          <w:bCs w:val="0"/>
          <w:color w:val="auto"/>
          <w:sz w:val="32"/>
          <w:szCs w:val="32"/>
          <w:u w:val="none"/>
          <w:lang w:val="en-US" w:eastAsia="zh-CN"/>
        </w:rPr>
        <w:t>③工程项目宜结合工程泥浆的性质、场地条件、终端处置方式、环境承载能力及当地经济、技术水平制订各自工程泥浆分类收集方案。</w:t>
      </w:r>
    </w:p>
    <w:p w14:paraId="3BDEEB17">
      <w:pPr>
        <w:pageBreakBefore w:val="0"/>
        <w:kinsoku/>
        <w:wordWrap/>
        <w:topLinePunct w:val="0"/>
        <w:bidi w:val="0"/>
        <w:spacing w:beforeAutospacing="0" w:afterAutospacing="0" w:line="560" w:lineRule="exact"/>
        <w:ind w:left="0" w:leftChars="0" w:firstLine="640" w:firstLineChars="200"/>
        <w:rPr>
          <w:rFonts w:hint="default" w:ascii="Times New Roman" w:hAnsi="Times New Roman" w:eastAsia="仿宋_GB2312" w:cs="Times New Roman"/>
          <w:b w:val="0"/>
          <w:bCs w:val="0"/>
          <w:color w:val="auto"/>
          <w:sz w:val="32"/>
          <w:szCs w:val="32"/>
          <w:u w:val="none"/>
          <w:lang w:val="en-US" w:eastAsia="zh-CN"/>
        </w:rPr>
      </w:pPr>
      <w:r>
        <w:rPr>
          <w:rFonts w:hint="default" w:ascii="Times New Roman" w:hAnsi="Times New Roman" w:eastAsia="仿宋_GB2312" w:cs="Times New Roman"/>
          <w:b w:val="0"/>
          <w:bCs w:val="0"/>
          <w:color w:val="auto"/>
          <w:sz w:val="32"/>
          <w:szCs w:val="32"/>
          <w:u w:val="none"/>
          <w:lang w:val="en-US" w:eastAsia="zh-CN"/>
        </w:rPr>
        <w:t>④现场设置工程泥浆暂存设施时不应对环境产生污染，并应采取防止设施漏水的措施。</w:t>
      </w:r>
    </w:p>
    <w:p w14:paraId="285C66F7">
      <w:pPr>
        <w:pageBreakBefore w:val="0"/>
        <w:kinsoku/>
        <w:wordWrap/>
        <w:topLinePunct w:val="0"/>
        <w:bidi w:val="0"/>
        <w:spacing w:beforeAutospacing="0" w:afterAutospacing="0" w:line="560" w:lineRule="exact"/>
        <w:ind w:left="0" w:leftChars="0" w:firstLine="640" w:firstLineChars="200"/>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b w:val="0"/>
          <w:bCs w:val="0"/>
          <w:color w:val="auto"/>
          <w:sz w:val="32"/>
          <w:szCs w:val="32"/>
          <w:u w:val="none"/>
          <w:lang w:val="en-US" w:eastAsia="zh-CN"/>
        </w:rPr>
        <w:t>⑤</w:t>
      </w:r>
      <w:r>
        <w:rPr>
          <w:rFonts w:hint="default" w:ascii="Times New Roman" w:hAnsi="Times New Roman" w:eastAsia="仿宋_GB2312" w:cs="Times New Roman"/>
          <w:color w:val="auto"/>
          <w:sz w:val="32"/>
          <w:szCs w:val="32"/>
          <w:u w:val="none"/>
          <w:lang w:val="en-US" w:eastAsia="zh-CN"/>
        </w:rPr>
        <w:t>工程泥浆宜干化后收集，不具备干化条件时宜采用封闭式专用泥浆运输车、管道等直接外运。</w:t>
      </w:r>
    </w:p>
    <w:p w14:paraId="324CCD82">
      <w:pPr>
        <w:pageBreakBefore w:val="0"/>
        <w:kinsoku/>
        <w:wordWrap/>
        <w:topLinePunct w:val="0"/>
        <w:bidi w:val="0"/>
        <w:spacing w:beforeAutospacing="0" w:afterAutospacing="0" w:line="560" w:lineRule="exact"/>
        <w:ind w:left="0" w:leftChars="0"/>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微软雅黑" w:cs="Times New Roman"/>
          <w:sz w:val="32"/>
          <w:szCs w:val="32"/>
          <w:lang w:val="en-US" w:eastAsia="zh-CN"/>
        </w:rPr>
        <w:t>⑥</w:t>
      </w:r>
      <w:r>
        <w:rPr>
          <w:rFonts w:hint="default" w:ascii="Times New Roman" w:hAnsi="Times New Roman" w:eastAsia="仿宋_GB2312" w:cs="Times New Roman"/>
          <w:color w:val="auto"/>
          <w:sz w:val="32"/>
          <w:szCs w:val="32"/>
          <w:u w:val="none"/>
          <w:lang w:val="en-US" w:eastAsia="zh-CN"/>
        </w:rPr>
        <w:t>工程泥浆可采用机械脱水、化学沉淀、自然沉淀、自然晾晒等单一或多种方式组合进行干化。</w:t>
      </w:r>
    </w:p>
    <w:p w14:paraId="58656D3E">
      <w:pPr>
        <w:pageBreakBefore w:val="0"/>
        <w:kinsoku/>
        <w:wordWrap/>
        <w:topLinePunct w:val="0"/>
        <w:bidi w:val="0"/>
        <w:spacing w:beforeAutospacing="0" w:afterAutospacing="0" w:line="560" w:lineRule="exact"/>
        <w:ind w:left="0" w:leftChars="0" w:firstLine="640" w:firstLineChars="200"/>
        <w:rPr>
          <w:rFonts w:hint="default" w:ascii="Times New Roman" w:hAnsi="Times New Roman" w:eastAsia="仿宋_GB2312" w:cs="Times New Roman"/>
          <w:b w:val="0"/>
          <w:bCs w:val="0"/>
          <w:color w:val="auto"/>
          <w:sz w:val="32"/>
          <w:szCs w:val="32"/>
          <w:u w:val="none"/>
          <w:lang w:val="en-US" w:eastAsia="zh-CN"/>
        </w:rPr>
      </w:pPr>
      <w:r>
        <w:rPr>
          <w:rFonts w:hint="eastAsia" w:ascii="Times New Roman" w:hAnsi="Times New Roman" w:eastAsia="仿宋_GB2312" w:cs="Times New Roman"/>
          <w:b w:val="0"/>
          <w:bCs w:val="0"/>
          <w:color w:val="auto"/>
          <w:sz w:val="32"/>
          <w:szCs w:val="32"/>
          <w:u w:val="none"/>
          <w:lang w:val="en-US" w:eastAsia="zh-CN"/>
        </w:rPr>
        <w:t>（</w:t>
      </w:r>
      <w:r>
        <w:rPr>
          <w:rFonts w:hint="default" w:ascii="Times New Roman" w:hAnsi="Times New Roman" w:eastAsia="仿宋_GB2312" w:cs="Times New Roman"/>
          <w:b w:val="0"/>
          <w:bCs w:val="0"/>
          <w:color w:val="auto"/>
          <w:sz w:val="32"/>
          <w:szCs w:val="32"/>
          <w:u w:val="none"/>
          <w:lang w:val="en-US" w:eastAsia="zh-CN"/>
        </w:rPr>
        <w:t>4</w:t>
      </w:r>
      <w:r>
        <w:rPr>
          <w:rFonts w:hint="eastAsia" w:ascii="Times New Roman" w:hAnsi="Times New Roman" w:eastAsia="仿宋_GB2312" w:cs="Times New Roman"/>
          <w:b w:val="0"/>
          <w:bCs w:val="0"/>
          <w:color w:val="auto"/>
          <w:sz w:val="32"/>
          <w:szCs w:val="32"/>
          <w:u w:val="none"/>
          <w:lang w:val="en-US" w:eastAsia="zh-CN"/>
        </w:rPr>
        <w:t>）</w:t>
      </w:r>
      <w:r>
        <w:rPr>
          <w:rFonts w:hint="default" w:ascii="Times New Roman" w:hAnsi="Times New Roman" w:eastAsia="仿宋_GB2312" w:cs="Times New Roman"/>
          <w:b w:val="0"/>
          <w:bCs w:val="0"/>
          <w:color w:val="auto"/>
          <w:sz w:val="32"/>
          <w:szCs w:val="32"/>
          <w:u w:val="none"/>
          <w:lang w:val="en-US" w:eastAsia="zh-CN"/>
        </w:rPr>
        <w:t>工程垃圾</w:t>
      </w:r>
    </w:p>
    <w:p w14:paraId="4EC0D601">
      <w:pPr>
        <w:pageBreakBefore w:val="0"/>
        <w:kinsoku/>
        <w:wordWrap/>
        <w:topLinePunct w:val="0"/>
        <w:bidi w:val="0"/>
        <w:spacing w:beforeAutospacing="0" w:afterAutospacing="0" w:line="560" w:lineRule="exact"/>
        <w:ind w:left="0" w:leftChars="0"/>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sz w:val="32"/>
          <w:szCs w:val="32"/>
          <w:highlight w:val="none"/>
          <w:lang w:val="en-US" w:eastAsia="zh-CN"/>
        </w:rPr>
        <w:t>①</w:t>
      </w:r>
      <w:r>
        <w:rPr>
          <w:rFonts w:hint="default" w:ascii="Times New Roman" w:hAnsi="Times New Roman" w:eastAsia="仿宋_GB2312" w:cs="Times New Roman"/>
          <w:color w:val="auto"/>
          <w:sz w:val="32"/>
          <w:szCs w:val="32"/>
          <w:u w:val="none"/>
          <w:lang w:val="en-US" w:eastAsia="zh-CN"/>
        </w:rPr>
        <w:t>工程项目施工前应按照建（构）筑物类别估算工程垃圾产生量，并应结合当地市场需求、资源化出路等制订各自工程垃圾分类收集方案。</w:t>
      </w:r>
    </w:p>
    <w:p w14:paraId="587B8CB8">
      <w:pPr>
        <w:pageBreakBefore w:val="0"/>
        <w:kinsoku/>
        <w:wordWrap/>
        <w:topLinePunct w:val="0"/>
        <w:bidi w:val="0"/>
        <w:spacing w:beforeAutospacing="0" w:afterAutospacing="0" w:line="560" w:lineRule="exact"/>
        <w:ind w:left="0" w:leftChars="0"/>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sz w:val="32"/>
          <w:szCs w:val="32"/>
          <w:highlight w:val="none"/>
          <w:lang w:val="en-US" w:eastAsia="zh-CN"/>
        </w:rPr>
        <w:t>②</w:t>
      </w:r>
      <w:r>
        <w:rPr>
          <w:rFonts w:hint="default" w:ascii="Times New Roman" w:hAnsi="Times New Roman" w:eastAsia="仿宋_GB2312" w:cs="Times New Roman"/>
          <w:color w:val="auto"/>
          <w:sz w:val="32"/>
          <w:szCs w:val="32"/>
          <w:u w:val="none"/>
          <w:lang w:val="en-US" w:eastAsia="zh-CN"/>
        </w:rPr>
        <w:t>施工剩余的金属、砂石等建筑材料宜直接回收利用。</w:t>
      </w:r>
    </w:p>
    <w:p w14:paraId="1CEC6F18">
      <w:pPr>
        <w:pageBreakBefore w:val="0"/>
        <w:kinsoku/>
        <w:wordWrap/>
        <w:topLinePunct w:val="0"/>
        <w:bidi w:val="0"/>
        <w:spacing w:beforeAutospacing="0" w:afterAutospacing="0" w:line="560" w:lineRule="exact"/>
        <w:ind w:left="0" w:leftChars="0"/>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sz w:val="32"/>
          <w:szCs w:val="32"/>
          <w:highlight w:val="none"/>
          <w:lang w:val="en-US" w:eastAsia="zh-CN"/>
        </w:rPr>
        <w:t>③</w:t>
      </w:r>
      <w:r>
        <w:rPr>
          <w:rFonts w:hint="default" w:ascii="Times New Roman" w:hAnsi="Times New Roman" w:eastAsia="仿宋_GB2312" w:cs="Times New Roman"/>
          <w:color w:val="auto"/>
          <w:sz w:val="32"/>
          <w:szCs w:val="32"/>
          <w:u w:val="none"/>
          <w:lang w:val="en-US" w:eastAsia="zh-CN"/>
        </w:rPr>
        <w:t>工程垃圾应包括施工现场清除作业垃圾、场地建筑材料剩余、部件加工边角料、破损导致的废弃材料等。</w:t>
      </w:r>
    </w:p>
    <w:p w14:paraId="7D33122E">
      <w:pPr>
        <w:pageBreakBefore w:val="0"/>
        <w:kinsoku/>
        <w:wordWrap/>
        <w:topLinePunct w:val="0"/>
        <w:bidi w:val="0"/>
        <w:spacing w:beforeAutospacing="0" w:afterAutospacing="0" w:line="560" w:lineRule="exact"/>
        <w:ind w:left="0" w:leftChars="0"/>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sz w:val="32"/>
          <w:szCs w:val="32"/>
          <w:lang w:val="en-US" w:eastAsia="zh-CN"/>
        </w:rPr>
        <w:t>④</w:t>
      </w:r>
      <w:r>
        <w:rPr>
          <w:rFonts w:hint="default" w:ascii="Times New Roman" w:hAnsi="Times New Roman" w:eastAsia="仿宋_GB2312" w:cs="Times New Roman"/>
          <w:color w:val="auto"/>
          <w:sz w:val="32"/>
          <w:szCs w:val="32"/>
          <w:u w:val="none"/>
          <w:lang w:val="en-US" w:eastAsia="zh-CN"/>
        </w:rPr>
        <w:t>工程垃圾应根据材料性质、组分进行一级和二级分类。工程垃圾分类及来源应符合下表的规定。</w:t>
      </w:r>
    </w:p>
    <w:p w14:paraId="2E4B8140">
      <w:pPr>
        <w:pageBreakBefore w:val="0"/>
        <w:kinsoku/>
        <w:wordWrap/>
        <w:topLinePunct w:val="0"/>
        <w:bidi w:val="0"/>
        <w:spacing w:beforeAutospacing="0" w:afterAutospacing="0" w:line="560" w:lineRule="exact"/>
        <w:ind w:left="0" w:leftChars="0" w:firstLine="0" w:firstLineChars="0"/>
        <w:jc w:val="center"/>
        <w:rPr>
          <w:rFonts w:hint="eastAsia" w:ascii="Times New Roman" w:hAnsi="Times New Roman"/>
          <w:color w:val="auto"/>
          <w:sz w:val="24"/>
          <w:u w:val="none"/>
          <w:lang w:val="en-US" w:eastAsia="zh-CN"/>
        </w:rPr>
      </w:pPr>
      <w:r>
        <w:rPr>
          <w:rFonts w:hint="eastAsia" w:ascii="仿宋_GB2312" w:hAnsi="仿宋_GB2312" w:eastAsia="仿宋_GB2312" w:cs="仿宋_GB2312"/>
          <w:color w:val="auto"/>
          <w:sz w:val="32"/>
          <w:szCs w:val="32"/>
          <w:u w:val="none"/>
          <w:lang w:val="en-US" w:eastAsia="zh-CN"/>
        </w:rPr>
        <w:t>表：工程垃圾分类及来源</w:t>
      </w:r>
    </w:p>
    <w:tbl>
      <w:tblPr>
        <w:tblStyle w:val="17"/>
        <w:tblW w:w="881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08"/>
        <w:gridCol w:w="2745"/>
        <w:gridCol w:w="4463"/>
      </w:tblGrid>
      <w:tr w14:paraId="1FE5EC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1608" w:type="dxa"/>
            <w:vAlign w:val="center"/>
          </w:tcPr>
          <w:p w14:paraId="6AAA606B">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leftChars="0" w:firstLine="0" w:firstLineChars="0"/>
              <w:jc w:val="center"/>
              <w:textAlignment w:val="auto"/>
              <w:rPr>
                <w:rFonts w:hint="eastAsia" w:ascii="黑体" w:hAnsi="黑体" w:eastAsia="黑体" w:cs="黑体"/>
                <w:color w:val="auto"/>
                <w:sz w:val="24"/>
                <w:szCs w:val="24"/>
                <w:u w:val="none"/>
                <w:vertAlign w:val="baseline"/>
                <w:lang w:eastAsia="zh-CN"/>
              </w:rPr>
            </w:pPr>
            <w:r>
              <w:rPr>
                <w:rFonts w:hint="eastAsia" w:ascii="黑体" w:hAnsi="黑体" w:eastAsia="黑体" w:cs="黑体"/>
                <w:color w:val="auto"/>
                <w:sz w:val="24"/>
                <w:szCs w:val="24"/>
                <w:u w:val="none"/>
                <w:vertAlign w:val="baseline"/>
                <w:lang w:eastAsia="zh-CN"/>
              </w:rPr>
              <w:t>一级分类</w:t>
            </w:r>
          </w:p>
        </w:tc>
        <w:tc>
          <w:tcPr>
            <w:tcW w:w="2745" w:type="dxa"/>
            <w:vAlign w:val="center"/>
          </w:tcPr>
          <w:p w14:paraId="1864176B">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leftChars="0" w:firstLine="0" w:firstLineChars="0"/>
              <w:jc w:val="center"/>
              <w:textAlignment w:val="auto"/>
              <w:rPr>
                <w:rFonts w:hint="eastAsia" w:ascii="黑体" w:hAnsi="黑体" w:eastAsia="黑体" w:cs="黑体"/>
                <w:color w:val="auto"/>
                <w:sz w:val="24"/>
                <w:szCs w:val="24"/>
                <w:u w:val="none"/>
                <w:vertAlign w:val="baseline"/>
                <w:lang w:eastAsia="zh-CN"/>
              </w:rPr>
            </w:pPr>
            <w:r>
              <w:rPr>
                <w:rFonts w:hint="eastAsia" w:ascii="黑体" w:hAnsi="黑体" w:eastAsia="黑体" w:cs="黑体"/>
                <w:color w:val="auto"/>
                <w:sz w:val="24"/>
                <w:szCs w:val="24"/>
                <w:u w:val="none"/>
                <w:vertAlign w:val="baseline"/>
                <w:lang w:eastAsia="zh-CN"/>
              </w:rPr>
              <w:t>二级分类</w:t>
            </w:r>
          </w:p>
        </w:tc>
        <w:tc>
          <w:tcPr>
            <w:tcW w:w="4463" w:type="dxa"/>
            <w:vAlign w:val="center"/>
          </w:tcPr>
          <w:p w14:paraId="593EB741">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leftChars="0" w:firstLine="0" w:firstLineChars="0"/>
              <w:jc w:val="center"/>
              <w:textAlignment w:val="auto"/>
              <w:rPr>
                <w:rFonts w:hint="eastAsia" w:ascii="黑体" w:hAnsi="黑体" w:eastAsia="黑体" w:cs="黑体"/>
                <w:color w:val="auto"/>
                <w:sz w:val="24"/>
                <w:szCs w:val="24"/>
                <w:u w:val="none"/>
                <w:vertAlign w:val="baseline"/>
                <w:lang w:eastAsia="zh-CN"/>
              </w:rPr>
            </w:pPr>
            <w:r>
              <w:rPr>
                <w:rFonts w:hint="eastAsia" w:ascii="黑体" w:hAnsi="黑体" w:eastAsia="黑体" w:cs="黑体"/>
                <w:color w:val="auto"/>
                <w:sz w:val="24"/>
                <w:szCs w:val="24"/>
                <w:u w:val="none"/>
                <w:vertAlign w:val="baseline"/>
                <w:lang w:eastAsia="zh-CN"/>
              </w:rPr>
              <w:t>主要来源</w:t>
            </w:r>
          </w:p>
        </w:tc>
      </w:tr>
      <w:tr w14:paraId="4E3F19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608" w:type="dxa"/>
            <w:vMerge w:val="restart"/>
            <w:vAlign w:val="center"/>
          </w:tcPr>
          <w:p w14:paraId="0B9AD8D0">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仿宋_GB2312" w:hAnsi="仿宋_GB2312" w:eastAsia="仿宋_GB2312" w:cs="仿宋_GB2312"/>
                <w:color w:val="auto"/>
                <w:sz w:val="24"/>
                <w:szCs w:val="24"/>
                <w:u w:val="none"/>
                <w:vertAlign w:val="baseline"/>
                <w:lang w:eastAsia="zh-CN"/>
              </w:rPr>
            </w:pPr>
            <w:r>
              <w:rPr>
                <w:rFonts w:hint="eastAsia" w:ascii="仿宋_GB2312" w:hAnsi="仿宋_GB2312" w:eastAsia="仿宋_GB2312" w:cs="仿宋_GB2312"/>
                <w:color w:val="auto"/>
                <w:sz w:val="24"/>
                <w:szCs w:val="24"/>
                <w:u w:val="none"/>
                <w:vertAlign w:val="baseline"/>
                <w:lang w:eastAsia="zh-CN"/>
              </w:rPr>
              <w:t>无机</w:t>
            </w:r>
          </w:p>
          <w:p w14:paraId="51173E80">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仿宋_GB2312" w:hAnsi="仿宋_GB2312" w:eastAsia="仿宋_GB2312" w:cs="仿宋_GB2312"/>
                <w:color w:val="auto"/>
                <w:sz w:val="24"/>
                <w:szCs w:val="24"/>
                <w:u w:val="none"/>
                <w:vertAlign w:val="baseline"/>
                <w:lang w:eastAsia="zh-CN"/>
              </w:rPr>
            </w:pPr>
            <w:r>
              <w:rPr>
                <w:rFonts w:hint="eastAsia" w:ascii="仿宋_GB2312" w:hAnsi="仿宋_GB2312" w:eastAsia="仿宋_GB2312" w:cs="仿宋_GB2312"/>
                <w:color w:val="auto"/>
                <w:sz w:val="24"/>
                <w:szCs w:val="24"/>
                <w:u w:val="none"/>
                <w:vertAlign w:val="baseline"/>
                <w:lang w:eastAsia="zh-CN"/>
              </w:rPr>
              <w:t>非金属类</w:t>
            </w:r>
          </w:p>
        </w:tc>
        <w:tc>
          <w:tcPr>
            <w:tcW w:w="2745" w:type="dxa"/>
            <w:vAlign w:val="center"/>
          </w:tcPr>
          <w:p w14:paraId="1478E163">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u w:val="none"/>
                <w:vertAlign w:val="baseline"/>
              </w:rPr>
            </w:pPr>
            <w:r>
              <w:rPr>
                <w:rFonts w:hint="eastAsia" w:ascii="仿宋_GB2312" w:hAnsi="仿宋_GB2312" w:eastAsia="仿宋_GB2312" w:cs="仿宋_GB2312"/>
                <w:color w:val="auto"/>
                <w:sz w:val="24"/>
                <w:szCs w:val="24"/>
                <w:u w:val="none"/>
                <w:vertAlign w:val="baseline"/>
              </w:rPr>
              <w:t>混凝土、水泥制品</w:t>
            </w:r>
            <w:r>
              <w:rPr>
                <w:rFonts w:hint="eastAsia" w:ascii="仿宋_GB2312" w:hAnsi="仿宋_GB2312" w:eastAsia="仿宋_GB2312" w:cs="仿宋_GB2312"/>
                <w:color w:val="auto"/>
                <w:sz w:val="24"/>
                <w:szCs w:val="24"/>
                <w:u w:val="none"/>
                <w:vertAlign w:val="baseline"/>
                <w:lang w:eastAsia="zh-CN"/>
              </w:rPr>
              <w:t>、</w:t>
            </w:r>
            <w:r>
              <w:rPr>
                <w:rFonts w:hint="eastAsia" w:ascii="仿宋_GB2312" w:hAnsi="仿宋_GB2312" w:eastAsia="仿宋_GB2312" w:cs="仿宋_GB2312"/>
                <w:color w:val="auto"/>
                <w:sz w:val="24"/>
                <w:szCs w:val="24"/>
                <w:u w:val="none"/>
                <w:vertAlign w:val="baseline"/>
              </w:rPr>
              <w:t>砂石</w:t>
            </w:r>
          </w:p>
        </w:tc>
        <w:tc>
          <w:tcPr>
            <w:tcW w:w="4463" w:type="dxa"/>
            <w:vAlign w:val="center"/>
          </w:tcPr>
          <w:p w14:paraId="669E0DEA">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u w:val="none"/>
                <w:vertAlign w:val="baseline"/>
              </w:rPr>
            </w:pPr>
            <w:r>
              <w:rPr>
                <w:rFonts w:hint="eastAsia" w:ascii="仿宋_GB2312" w:hAnsi="仿宋_GB2312" w:eastAsia="仿宋_GB2312" w:cs="仿宋_GB2312"/>
                <w:color w:val="auto"/>
                <w:sz w:val="24"/>
                <w:szCs w:val="24"/>
                <w:u w:val="none"/>
                <w:vertAlign w:val="baseline"/>
              </w:rPr>
              <w:t>清除作业包括清除混凝土类临时支撑构件、截断的桩头</w:t>
            </w:r>
            <w:r>
              <w:rPr>
                <w:rFonts w:hint="eastAsia" w:ascii="仿宋_GB2312" w:hAnsi="仿宋_GB2312" w:eastAsia="仿宋_GB2312" w:cs="仿宋_GB2312"/>
                <w:color w:val="auto"/>
                <w:sz w:val="24"/>
                <w:szCs w:val="24"/>
                <w:u w:val="none"/>
                <w:vertAlign w:val="baseline"/>
                <w:lang w:eastAsia="zh-CN"/>
              </w:rPr>
              <w:t>、</w:t>
            </w:r>
            <w:r>
              <w:rPr>
                <w:rFonts w:hint="eastAsia" w:ascii="仿宋_GB2312" w:hAnsi="仿宋_GB2312" w:eastAsia="仿宋_GB2312" w:cs="仿宋_GB2312"/>
                <w:color w:val="auto"/>
                <w:sz w:val="24"/>
                <w:szCs w:val="24"/>
                <w:u w:val="none"/>
                <w:vertAlign w:val="baseline"/>
              </w:rPr>
              <w:t>场地清理等</w:t>
            </w:r>
            <w:r>
              <w:rPr>
                <w:rFonts w:hint="eastAsia" w:ascii="仿宋_GB2312" w:hAnsi="仿宋_GB2312" w:eastAsia="仿宋_GB2312" w:cs="仿宋_GB2312"/>
                <w:color w:val="auto"/>
                <w:sz w:val="24"/>
                <w:szCs w:val="24"/>
                <w:u w:val="none"/>
                <w:vertAlign w:val="baseline"/>
                <w:lang w:eastAsia="zh-CN"/>
              </w:rPr>
              <w:t>，</w:t>
            </w:r>
            <w:r>
              <w:rPr>
                <w:rFonts w:hint="eastAsia" w:ascii="仿宋_GB2312" w:hAnsi="仿宋_GB2312" w:eastAsia="仿宋_GB2312" w:cs="仿宋_GB2312"/>
                <w:color w:val="auto"/>
                <w:sz w:val="24"/>
                <w:szCs w:val="24"/>
                <w:u w:val="none"/>
                <w:vertAlign w:val="baseline"/>
              </w:rPr>
              <w:t>场地建筑材料剩余</w:t>
            </w:r>
          </w:p>
        </w:tc>
      </w:tr>
      <w:tr w14:paraId="2C9C96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08" w:type="dxa"/>
            <w:vMerge w:val="continue"/>
            <w:vAlign w:val="center"/>
          </w:tcPr>
          <w:p w14:paraId="40B6A370">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仿宋_GB2312" w:hAnsi="仿宋_GB2312" w:eastAsia="仿宋_GB2312" w:cs="仿宋_GB2312"/>
                <w:color w:val="auto"/>
                <w:sz w:val="24"/>
                <w:szCs w:val="24"/>
                <w:u w:val="none"/>
                <w:vertAlign w:val="baseline"/>
              </w:rPr>
            </w:pPr>
          </w:p>
        </w:tc>
        <w:tc>
          <w:tcPr>
            <w:tcW w:w="2745" w:type="dxa"/>
            <w:vAlign w:val="center"/>
          </w:tcPr>
          <w:p w14:paraId="061AAC35">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u w:val="none"/>
                <w:vertAlign w:val="baseline"/>
              </w:rPr>
            </w:pPr>
            <w:r>
              <w:rPr>
                <w:rFonts w:hint="eastAsia" w:ascii="仿宋_GB2312" w:hAnsi="仿宋_GB2312" w:eastAsia="仿宋_GB2312" w:cs="仿宋_GB2312"/>
                <w:color w:val="auto"/>
                <w:sz w:val="24"/>
                <w:szCs w:val="24"/>
                <w:u w:val="none"/>
                <w:vertAlign w:val="baseline"/>
              </w:rPr>
              <w:t>砖瓦、陶瓷、砂浆</w:t>
            </w:r>
            <w:r>
              <w:rPr>
                <w:rFonts w:hint="eastAsia" w:ascii="仿宋_GB2312" w:hAnsi="仿宋_GB2312" w:eastAsia="仿宋_GB2312" w:cs="仿宋_GB2312"/>
                <w:color w:val="auto"/>
                <w:sz w:val="24"/>
                <w:szCs w:val="24"/>
                <w:u w:val="none"/>
                <w:vertAlign w:val="baseline"/>
                <w:lang w:eastAsia="zh-CN"/>
              </w:rPr>
              <w:t>、</w:t>
            </w:r>
            <w:r>
              <w:rPr>
                <w:rFonts w:hint="eastAsia" w:ascii="仿宋_GB2312" w:hAnsi="仿宋_GB2312" w:eastAsia="仿宋_GB2312" w:cs="仿宋_GB2312"/>
                <w:color w:val="auto"/>
                <w:sz w:val="24"/>
                <w:szCs w:val="24"/>
                <w:u w:val="none"/>
                <w:vertAlign w:val="baseline"/>
              </w:rPr>
              <w:t>轻型墙体材料</w:t>
            </w:r>
          </w:p>
        </w:tc>
        <w:tc>
          <w:tcPr>
            <w:tcW w:w="4463" w:type="dxa"/>
            <w:vAlign w:val="center"/>
          </w:tcPr>
          <w:p w14:paraId="150D2B67">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u w:val="none"/>
                <w:vertAlign w:val="baseline"/>
              </w:rPr>
            </w:pPr>
            <w:r>
              <w:rPr>
                <w:rFonts w:hint="eastAsia" w:ascii="仿宋_GB2312" w:hAnsi="仿宋_GB2312" w:eastAsia="仿宋_GB2312" w:cs="仿宋_GB2312"/>
                <w:color w:val="auto"/>
                <w:sz w:val="24"/>
                <w:szCs w:val="24"/>
                <w:u w:val="none"/>
                <w:vertAlign w:val="baseline"/>
              </w:rPr>
              <w:t>场地清理</w:t>
            </w:r>
            <w:r>
              <w:rPr>
                <w:rFonts w:hint="eastAsia" w:ascii="仿宋_GB2312" w:hAnsi="仿宋_GB2312" w:eastAsia="仿宋_GB2312" w:cs="仿宋_GB2312"/>
                <w:color w:val="auto"/>
                <w:sz w:val="24"/>
                <w:szCs w:val="24"/>
                <w:u w:val="none"/>
                <w:vertAlign w:val="baseline"/>
                <w:lang w:eastAsia="zh-CN"/>
              </w:rPr>
              <w:t>、</w:t>
            </w:r>
            <w:r>
              <w:rPr>
                <w:rFonts w:hint="eastAsia" w:ascii="仿宋_GB2312" w:hAnsi="仿宋_GB2312" w:eastAsia="仿宋_GB2312" w:cs="仿宋_GB2312"/>
                <w:color w:val="auto"/>
                <w:sz w:val="24"/>
                <w:szCs w:val="24"/>
                <w:u w:val="none"/>
                <w:vertAlign w:val="baseline"/>
              </w:rPr>
              <w:t>场地建筑材料剩余、破损的废弃材料</w:t>
            </w:r>
          </w:p>
        </w:tc>
      </w:tr>
      <w:tr w14:paraId="0B5ACD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08" w:type="dxa"/>
            <w:vMerge w:val="restart"/>
            <w:vAlign w:val="center"/>
          </w:tcPr>
          <w:p w14:paraId="1748CDA7">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仿宋_GB2312" w:hAnsi="仿宋_GB2312" w:eastAsia="仿宋_GB2312" w:cs="仿宋_GB2312"/>
                <w:color w:val="auto"/>
                <w:sz w:val="24"/>
                <w:szCs w:val="24"/>
                <w:u w:val="none"/>
                <w:vertAlign w:val="baseline"/>
              </w:rPr>
            </w:pPr>
            <w:r>
              <w:rPr>
                <w:rFonts w:hint="eastAsia" w:ascii="仿宋_GB2312" w:hAnsi="仿宋_GB2312" w:eastAsia="仿宋_GB2312" w:cs="仿宋_GB2312"/>
                <w:color w:val="auto"/>
                <w:sz w:val="24"/>
                <w:szCs w:val="24"/>
                <w:u w:val="none"/>
                <w:vertAlign w:val="baseline"/>
              </w:rPr>
              <w:t>金属类</w:t>
            </w:r>
          </w:p>
        </w:tc>
        <w:tc>
          <w:tcPr>
            <w:tcW w:w="2745" w:type="dxa"/>
            <w:vAlign w:val="center"/>
          </w:tcPr>
          <w:p w14:paraId="0368D284">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u w:val="none"/>
                <w:vertAlign w:val="baseline"/>
              </w:rPr>
            </w:pPr>
            <w:r>
              <w:rPr>
                <w:rFonts w:hint="eastAsia" w:ascii="仿宋_GB2312" w:hAnsi="仿宋_GB2312" w:eastAsia="仿宋_GB2312" w:cs="仿宋_GB2312"/>
                <w:color w:val="auto"/>
                <w:sz w:val="24"/>
                <w:szCs w:val="24"/>
                <w:u w:val="none"/>
                <w:vertAlign w:val="baseline"/>
              </w:rPr>
              <w:t>钢铁</w:t>
            </w:r>
          </w:p>
        </w:tc>
        <w:tc>
          <w:tcPr>
            <w:tcW w:w="4463" w:type="dxa"/>
            <w:vAlign w:val="center"/>
          </w:tcPr>
          <w:p w14:paraId="2F87FF42">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u w:val="none"/>
                <w:vertAlign w:val="baseline"/>
              </w:rPr>
            </w:pPr>
            <w:r>
              <w:rPr>
                <w:rFonts w:hint="eastAsia" w:ascii="仿宋_GB2312" w:hAnsi="仿宋_GB2312" w:eastAsia="仿宋_GB2312" w:cs="仿宋_GB2312"/>
                <w:color w:val="auto"/>
                <w:sz w:val="24"/>
                <w:szCs w:val="24"/>
                <w:u w:val="none"/>
                <w:vertAlign w:val="baseline"/>
              </w:rPr>
              <w:t>部件加工边角料、损坏的工具等废弃材料</w:t>
            </w:r>
          </w:p>
        </w:tc>
      </w:tr>
      <w:tr w14:paraId="18565D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08" w:type="dxa"/>
            <w:vMerge w:val="continue"/>
            <w:vAlign w:val="center"/>
          </w:tcPr>
          <w:p w14:paraId="11B996DB">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仿宋_GB2312" w:hAnsi="仿宋_GB2312" w:eastAsia="仿宋_GB2312" w:cs="仿宋_GB2312"/>
                <w:color w:val="auto"/>
                <w:sz w:val="24"/>
                <w:szCs w:val="24"/>
                <w:u w:val="none"/>
                <w:vertAlign w:val="baseline"/>
              </w:rPr>
            </w:pPr>
          </w:p>
        </w:tc>
        <w:tc>
          <w:tcPr>
            <w:tcW w:w="2745" w:type="dxa"/>
            <w:vAlign w:val="center"/>
          </w:tcPr>
          <w:p w14:paraId="39B7DEAA">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u w:val="none"/>
                <w:vertAlign w:val="baseline"/>
                <w:lang w:eastAsia="zh-CN"/>
              </w:rPr>
            </w:pPr>
            <w:r>
              <w:rPr>
                <w:rFonts w:hint="eastAsia" w:ascii="仿宋_GB2312" w:hAnsi="仿宋_GB2312" w:eastAsia="仿宋_GB2312" w:cs="仿宋_GB2312"/>
                <w:color w:val="auto"/>
                <w:sz w:val="24"/>
                <w:szCs w:val="24"/>
                <w:u w:val="none"/>
                <w:vertAlign w:val="baseline"/>
                <w:lang w:eastAsia="zh-CN"/>
              </w:rPr>
              <w:t>铝</w:t>
            </w:r>
          </w:p>
        </w:tc>
        <w:tc>
          <w:tcPr>
            <w:tcW w:w="4463" w:type="dxa"/>
            <w:vAlign w:val="center"/>
          </w:tcPr>
          <w:p w14:paraId="26D2AEEF">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u w:val="none"/>
                <w:vertAlign w:val="baseline"/>
              </w:rPr>
            </w:pPr>
            <w:r>
              <w:rPr>
                <w:rFonts w:hint="eastAsia" w:ascii="仿宋_GB2312" w:hAnsi="仿宋_GB2312" w:eastAsia="仿宋_GB2312" w:cs="仿宋_GB2312"/>
                <w:color w:val="auto"/>
                <w:sz w:val="24"/>
                <w:szCs w:val="24"/>
                <w:u w:val="none"/>
                <w:vertAlign w:val="baseline"/>
              </w:rPr>
              <w:t>部件加工边角料、线缆弃料</w:t>
            </w:r>
          </w:p>
        </w:tc>
      </w:tr>
      <w:tr w14:paraId="0033F0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08" w:type="dxa"/>
            <w:vMerge w:val="continue"/>
            <w:vAlign w:val="center"/>
          </w:tcPr>
          <w:p w14:paraId="4967D85F">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仿宋_GB2312" w:hAnsi="仿宋_GB2312" w:eastAsia="仿宋_GB2312" w:cs="仿宋_GB2312"/>
                <w:color w:val="auto"/>
                <w:sz w:val="24"/>
                <w:szCs w:val="24"/>
                <w:u w:val="none"/>
                <w:vertAlign w:val="baseline"/>
              </w:rPr>
            </w:pPr>
          </w:p>
        </w:tc>
        <w:tc>
          <w:tcPr>
            <w:tcW w:w="2745" w:type="dxa"/>
            <w:vAlign w:val="center"/>
          </w:tcPr>
          <w:p w14:paraId="55D3BD27">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u w:val="none"/>
                <w:vertAlign w:val="baseline"/>
              </w:rPr>
            </w:pPr>
            <w:r>
              <w:rPr>
                <w:rFonts w:hint="eastAsia" w:ascii="仿宋_GB2312" w:hAnsi="仿宋_GB2312" w:eastAsia="仿宋_GB2312" w:cs="仿宋_GB2312"/>
                <w:color w:val="auto"/>
                <w:sz w:val="24"/>
                <w:szCs w:val="24"/>
                <w:u w:val="none"/>
                <w:vertAlign w:val="baseline"/>
              </w:rPr>
              <w:t>铜</w:t>
            </w:r>
          </w:p>
        </w:tc>
        <w:tc>
          <w:tcPr>
            <w:tcW w:w="4463" w:type="dxa"/>
            <w:vAlign w:val="center"/>
          </w:tcPr>
          <w:p w14:paraId="673A720C">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u w:val="none"/>
                <w:vertAlign w:val="baseline"/>
              </w:rPr>
            </w:pPr>
            <w:r>
              <w:rPr>
                <w:rFonts w:hint="eastAsia" w:ascii="仿宋_GB2312" w:hAnsi="仿宋_GB2312" w:eastAsia="仿宋_GB2312" w:cs="仿宋_GB2312"/>
                <w:color w:val="auto"/>
                <w:sz w:val="24"/>
                <w:szCs w:val="24"/>
                <w:u w:val="none"/>
                <w:vertAlign w:val="baseline"/>
              </w:rPr>
              <w:t>部件加工边角料、线缆弃料</w:t>
            </w:r>
          </w:p>
        </w:tc>
      </w:tr>
      <w:tr w14:paraId="453959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08" w:type="dxa"/>
            <w:vMerge w:val="restart"/>
            <w:vAlign w:val="center"/>
          </w:tcPr>
          <w:p w14:paraId="5155832B">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仿宋_GB2312" w:hAnsi="仿宋_GB2312" w:eastAsia="仿宋_GB2312" w:cs="仿宋_GB2312"/>
                <w:color w:val="auto"/>
                <w:sz w:val="24"/>
                <w:szCs w:val="24"/>
                <w:u w:val="none"/>
                <w:vertAlign w:val="baseline"/>
                <w:lang w:eastAsia="zh-CN"/>
              </w:rPr>
            </w:pPr>
            <w:r>
              <w:rPr>
                <w:rFonts w:hint="eastAsia" w:ascii="仿宋_GB2312" w:hAnsi="仿宋_GB2312" w:eastAsia="仿宋_GB2312" w:cs="仿宋_GB2312"/>
                <w:color w:val="auto"/>
                <w:sz w:val="24"/>
                <w:szCs w:val="24"/>
                <w:u w:val="none"/>
                <w:vertAlign w:val="baseline"/>
                <w:lang w:eastAsia="zh-CN"/>
              </w:rPr>
              <w:t>有机类</w:t>
            </w:r>
          </w:p>
        </w:tc>
        <w:tc>
          <w:tcPr>
            <w:tcW w:w="2745" w:type="dxa"/>
            <w:vAlign w:val="center"/>
          </w:tcPr>
          <w:p w14:paraId="0BD838D5">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u w:val="none"/>
                <w:vertAlign w:val="baseline"/>
              </w:rPr>
            </w:pPr>
            <w:r>
              <w:rPr>
                <w:rFonts w:hint="eastAsia" w:ascii="仿宋_GB2312" w:hAnsi="仿宋_GB2312" w:eastAsia="仿宋_GB2312" w:cs="仿宋_GB2312"/>
                <w:color w:val="auto"/>
                <w:sz w:val="24"/>
                <w:szCs w:val="24"/>
                <w:u w:val="none"/>
                <w:vertAlign w:val="baseline"/>
              </w:rPr>
              <w:t>木材</w:t>
            </w:r>
          </w:p>
        </w:tc>
        <w:tc>
          <w:tcPr>
            <w:tcW w:w="4463" w:type="dxa"/>
            <w:vAlign w:val="center"/>
          </w:tcPr>
          <w:p w14:paraId="22DE163C">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u w:val="none"/>
                <w:vertAlign w:val="baseline"/>
              </w:rPr>
            </w:pPr>
            <w:r>
              <w:rPr>
                <w:rFonts w:hint="eastAsia" w:ascii="仿宋_GB2312" w:hAnsi="仿宋_GB2312" w:eastAsia="仿宋_GB2312" w:cs="仿宋_GB2312"/>
                <w:color w:val="auto"/>
                <w:sz w:val="24"/>
                <w:szCs w:val="24"/>
                <w:u w:val="none"/>
                <w:vertAlign w:val="baseline"/>
              </w:rPr>
              <w:t>部件加工边角料等</w:t>
            </w:r>
          </w:p>
        </w:tc>
      </w:tr>
      <w:tr w14:paraId="1154F3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08" w:type="dxa"/>
            <w:vMerge w:val="continue"/>
            <w:vAlign w:val="center"/>
          </w:tcPr>
          <w:p w14:paraId="37EDA9EC">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仿宋_GB2312" w:hAnsi="仿宋_GB2312" w:eastAsia="仿宋_GB2312" w:cs="仿宋_GB2312"/>
                <w:color w:val="auto"/>
                <w:sz w:val="24"/>
                <w:szCs w:val="24"/>
                <w:u w:val="none"/>
                <w:vertAlign w:val="baseline"/>
              </w:rPr>
            </w:pPr>
          </w:p>
        </w:tc>
        <w:tc>
          <w:tcPr>
            <w:tcW w:w="2745" w:type="dxa"/>
            <w:vAlign w:val="center"/>
          </w:tcPr>
          <w:p w14:paraId="05615036">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u w:val="none"/>
                <w:vertAlign w:val="baseline"/>
              </w:rPr>
            </w:pPr>
            <w:r>
              <w:rPr>
                <w:rFonts w:hint="eastAsia" w:ascii="仿宋_GB2312" w:hAnsi="仿宋_GB2312" w:eastAsia="仿宋_GB2312" w:cs="仿宋_GB2312"/>
                <w:color w:val="auto"/>
                <w:sz w:val="24"/>
                <w:szCs w:val="24"/>
                <w:u w:val="none"/>
                <w:vertAlign w:val="baseline"/>
              </w:rPr>
              <w:t>塑料、织物</w:t>
            </w:r>
          </w:p>
        </w:tc>
        <w:tc>
          <w:tcPr>
            <w:tcW w:w="4463" w:type="dxa"/>
            <w:vAlign w:val="center"/>
          </w:tcPr>
          <w:p w14:paraId="11EE0788">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u w:val="none"/>
                <w:vertAlign w:val="baseline"/>
              </w:rPr>
            </w:pPr>
            <w:r>
              <w:rPr>
                <w:rFonts w:hint="eastAsia" w:ascii="仿宋_GB2312" w:hAnsi="仿宋_GB2312" w:eastAsia="仿宋_GB2312" w:cs="仿宋_GB2312"/>
                <w:color w:val="auto"/>
                <w:sz w:val="24"/>
                <w:szCs w:val="24"/>
                <w:u w:val="none"/>
                <w:vertAlign w:val="baseline"/>
              </w:rPr>
              <w:t>工程塑料破损及剩余、废弃塑料模板、包装材料、安全网防尘网等,塑料成分主要有</w:t>
            </w:r>
            <w:r>
              <w:rPr>
                <w:rFonts w:hint="default" w:ascii="Times New Roman" w:hAnsi="Times New Roman" w:eastAsia="仿宋_GB2312" w:cs="Times New Roman"/>
                <w:color w:val="auto"/>
                <w:sz w:val="24"/>
                <w:szCs w:val="24"/>
                <w:u w:val="none"/>
                <w:vertAlign w:val="baseline"/>
              </w:rPr>
              <w:t>PVC、PE、PP、PS、ABS、</w:t>
            </w:r>
            <w:r>
              <w:rPr>
                <w:rFonts w:hint="eastAsia" w:ascii="仿宋_GB2312" w:hAnsi="仿宋_GB2312" w:eastAsia="仿宋_GB2312" w:cs="仿宋_GB2312"/>
                <w:color w:val="auto"/>
                <w:sz w:val="24"/>
                <w:szCs w:val="24"/>
                <w:u w:val="none"/>
                <w:vertAlign w:val="baseline"/>
              </w:rPr>
              <w:t>尼龙等</w:t>
            </w:r>
          </w:p>
        </w:tc>
      </w:tr>
      <w:tr w14:paraId="56D172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08" w:type="dxa"/>
            <w:vMerge w:val="continue"/>
            <w:vAlign w:val="center"/>
          </w:tcPr>
          <w:p w14:paraId="0D32BB34">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仿宋_GB2312" w:hAnsi="仿宋_GB2312" w:eastAsia="仿宋_GB2312" w:cs="仿宋_GB2312"/>
                <w:color w:val="auto"/>
                <w:sz w:val="24"/>
                <w:szCs w:val="24"/>
                <w:u w:val="none"/>
                <w:vertAlign w:val="baseline"/>
              </w:rPr>
            </w:pPr>
          </w:p>
        </w:tc>
        <w:tc>
          <w:tcPr>
            <w:tcW w:w="2745" w:type="dxa"/>
            <w:vAlign w:val="center"/>
          </w:tcPr>
          <w:p w14:paraId="50671247">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u w:val="none"/>
                <w:vertAlign w:val="baseline"/>
              </w:rPr>
            </w:pPr>
            <w:r>
              <w:rPr>
                <w:rFonts w:hint="eastAsia" w:ascii="仿宋_GB2312" w:hAnsi="仿宋_GB2312" w:eastAsia="仿宋_GB2312" w:cs="仿宋_GB2312"/>
                <w:color w:val="auto"/>
                <w:sz w:val="24"/>
                <w:szCs w:val="24"/>
                <w:u w:val="none"/>
                <w:vertAlign w:val="baseline"/>
              </w:rPr>
              <w:t>纸类</w:t>
            </w:r>
          </w:p>
        </w:tc>
        <w:tc>
          <w:tcPr>
            <w:tcW w:w="4463" w:type="dxa"/>
            <w:vAlign w:val="center"/>
          </w:tcPr>
          <w:p w14:paraId="16520FBC">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u w:val="none"/>
                <w:vertAlign w:val="baseline"/>
              </w:rPr>
            </w:pPr>
            <w:r>
              <w:rPr>
                <w:rFonts w:hint="eastAsia" w:ascii="仿宋_GB2312" w:hAnsi="仿宋_GB2312" w:eastAsia="仿宋_GB2312" w:cs="仿宋_GB2312"/>
                <w:color w:val="auto"/>
                <w:sz w:val="24"/>
                <w:szCs w:val="24"/>
                <w:u w:val="none"/>
                <w:vertAlign w:val="baseline"/>
              </w:rPr>
              <w:t>包装材料等</w:t>
            </w:r>
          </w:p>
        </w:tc>
      </w:tr>
      <w:tr w14:paraId="71C296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08" w:type="dxa"/>
            <w:vMerge w:val="continue"/>
            <w:vAlign w:val="center"/>
          </w:tcPr>
          <w:p w14:paraId="07251405">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仿宋_GB2312" w:hAnsi="仿宋_GB2312" w:eastAsia="仿宋_GB2312" w:cs="仿宋_GB2312"/>
                <w:color w:val="auto"/>
                <w:sz w:val="24"/>
                <w:szCs w:val="24"/>
                <w:u w:val="none"/>
                <w:vertAlign w:val="baseline"/>
              </w:rPr>
            </w:pPr>
          </w:p>
        </w:tc>
        <w:tc>
          <w:tcPr>
            <w:tcW w:w="2745" w:type="dxa"/>
            <w:vAlign w:val="center"/>
          </w:tcPr>
          <w:p w14:paraId="62D5F1BE">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u w:val="none"/>
                <w:vertAlign w:val="baseline"/>
              </w:rPr>
            </w:pPr>
            <w:r>
              <w:rPr>
                <w:rFonts w:hint="eastAsia" w:ascii="仿宋_GB2312" w:hAnsi="仿宋_GB2312" w:eastAsia="仿宋_GB2312" w:cs="仿宋_GB2312"/>
                <w:color w:val="auto"/>
                <w:sz w:val="24"/>
                <w:szCs w:val="24"/>
                <w:u w:val="none"/>
                <w:vertAlign w:val="baseline"/>
              </w:rPr>
              <w:t>沥青类</w:t>
            </w:r>
          </w:p>
        </w:tc>
        <w:tc>
          <w:tcPr>
            <w:tcW w:w="4463" w:type="dxa"/>
            <w:vAlign w:val="center"/>
          </w:tcPr>
          <w:p w14:paraId="39CCA55E">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u w:val="none"/>
                <w:vertAlign w:val="baseline"/>
              </w:rPr>
            </w:pPr>
            <w:r>
              <w:rPr>
                <w:rFonts w:hint="eastAsia" w:ascii="仿宋_GB2312" w:hAnsi="仿宋_GB2312" w:eastAsia="仿宋_GB2312" w:cs="仿宋_GB2312"/>
                <w:color w:val="auto"/>
                <w:sz w:val="24"/>
                <w:szCs w:val="24"/>
                <w:u w:val="none"/>
                <w:vertAlign w:val="baseline"/>
              </w:rPr>
              <w:t>道路施工废弃料</w:t>
            </w:r>
          </w:p>
        </w:tc>
      </w:tr>
      <w:tr w14:paraId="2D1E31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08" w:type="dxa"/>
            <w:vAlign w:val="center"/>
          </w:tcPr>
          <w:p w14:paraId="4B38DA0D">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仿宋_GB2312" w:hAnsi="仿宋_GB2312" w:eastAsia="仿宋_GB2312" w:cs="仿宋_GB2312"/>
                <w:color w:val="auto"/>
                <w:sz w:val="24"/>
                <w:szCs w:val="24"/>
                <w:u w:val="none"/>
                <w:vertAlign w:val="baseline"/>
              </w:rPr>
            </w:pPr>
            <w:r>
              <w:rPr>
                <w:rFonts w:hint="eastAsia" w:ascii="仿宋_GB2312" w:hAnsi="仿宋_GB2312" w:eastAsia="仿宋_GB2312" w:cs="仿宋_GB2312"/>
                <w:color w:val="auto"/>
                <w:sz w:val="24"/>
                <w:szCs w:val="24"/>
                <w:u w:val="none"/>
                <w:vertAlign w:val="baseline"/>
              </w:rPr>
              <w:t>其他类</w:t>
            </w:r>
          </w:p>
        </w:tc>
        <w:tc>
          <w:tcPr>
            <w:tcW w:w="2745" w:type="dxa"/>
            <w:vAlign w:val="center"/>
          </w:tcPr>
          <w:p w14:paraId="1B41BB6A">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u w:val="none"/>
                <w:vertAlign w:val="baseline"/>
              </w:rPr>
            </w:pPr>
            <w:r>
              <w:rPr>
                <w:rFonts w:hint="eastAsia" w:ascii="仿宋_GB2312" w:hAnsi="仿宋_GB2312" w:eastAsia="仿宋_GB2312" w:cs="仿宋_GB2312"/>
                <w:color w:val="auto"/>
                <w:sz w:val="24"/>
                <w:szCs w:val="24"/>
                <w:u w:val="none"/>
                <w:vertAlign w:val="baseline"/>
              </w:rPr>
              <w:t>混合</w:t>
            </w:r>
          </w:p>
        </w:tc>
        <w:tc>
          <w:tcPr>
            <w:tcW w:w="4463" w:type="dxa"/>
            <w:vAlign w:val="center"/>
          </w:tcPr>
          <w:p w14:paraId="77D92438">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u w:val="none"/>
                <w:vertAlign w:val="baseline"/>
              </w:rPr>
            </w:pPr>
            <w:r>
              <w:rPr>
                <w:rFonts w:hint="eastAsia" w:ascii="仿宋_GB2312" w:hAnsi="仿宋_GB2312" w:eastAsia="仿宋_GB2312" w:cs="仿宋_GB2312"/>
                <w:color w:val="auto"/>
                <w:sz w:val="24"/>
                <w:szCs w:val="24"/>
                <w:u w:val="none"/>
                <w:vertAlign w:val="baseline"/>
              </w:rPr>
              <w:t>以上类别以外的工程垃圾，以及无法在现场进行分类的无机非金属、金属、有机类垃圾的混合物</w:t>
            </w:r>
            <w:r>
              <w:rPr>
                <w:rFonts w:hint="eastAsia" w:ascii="仿宋_GB2312" w:hAnsi="仿宋_GB2312" w:eastAsia="仿宋_GB2312" w:cs="仿宋_GB2312"/>
                <w:color w:val="auto"/>
                <w:sz w:val="24"/>
                <w:szCs w:val="24"/>
                <w:u w:val="none"/>
                <w:vertAlign w:val="baseline"/>
                <w:lang w:eastAsia="zh-CN"/>
              </w:rPr>
              <w:t>，</w:t>
            </w:r>
            <w:r>
              <w:rPr>
                <w:rFonts w:hint="eastAsia" w:ascii="仿宋_GB2312" w:hAnsi="仿宋_GB2312" w:eastAsia="仿宋_GB2312" w:cs="仿宋_GB2312"/>
                <w:color w:val="auto"/>
                <w:sz w:val="24"/>
                <w:szCs w:val="24"/>
                <w:u w:val="none"/>
                <w:vertAlign w:val="baseline"/>
              </w:rPr>
              <w:t>施工剩余的防水材料、保温材料等</w:t>
            </w:r>
            <w:r>
              <w:rPr>
                <w:rFonts w:hint="eastAsia" w:ascii="仿宋_GB2312" w:hAnsi="仿宋_GB2312" w:eastAsia="仿宋_GB2312" w:cs="仿宋_GB2312"/>
                <w:color w:val="auto"/>
                <w:sz w:val="24"/>
                <w:szCs w:val="24"/>
                <w:u w:val="none"/>
                <w:vertAlign w:val="baseline"/>
                <w:lang w:eastAsia="zh-CN"/>
              </w:rPr>
              <w:t>，</w:t>
            </w:r>
            <w:r>
              <w:rPr>
                <w:rFonts w:hint="eastAsia" w:ascii="仿宋_GB2312" w:hAnsi="仿宋_GB2312" w:eastAsia="仿宋_GB2312" w:cs="仿宋_GB2312"/>
                <w:color w:val="auto"/>
                <w:sz w:val="24"/>
                <w:szCs w:val="24"/>
                <w:u w:val="none"/>
                <w:vertAlign w:val="baseline"/>
              </w:rPr>
              <w:t>玻璃类</w:t>
            </w:r>
            <w:r>
              <w:rPr>
                <w:rFonts w:hint="eastAsia" w:ascii="仿宋_GB2312" w:hAnsi="仿宋_GB2312" w:eastAsia="仿宋_GB2312" w:cs="仿宋_GB2312"/>
                <w:color w:val="auto"/>
                <w:sz w:val="24"/>
                <w:szCs w:val="24"/>
                <w:u w:val="none"/>
                <w:vertAlign w:val="baseline"/>
                <w:lang w:eastAsia="zh-CN"/>
              </w:rPr>
              <w:t>，</w:t>
            </w:r>
            <w:r>
              <w:rPr>
                <w:rFonts w:hint="eastAsia" w:ascii="仿宋_GB2312" w:hAnsi="仿宋_GB2312" w:eastAsia="仿宋_GB2312" w:cs="仿宋_GB2312"/>
                <w:color w:val="auto"/>
                <w:sz w:val="24"/>
                <w:szCs w:val="24"/>
                <w:u w:val="none"/>
                <w:vertAlign w:val="baseline"/>
              </w:rPr>
              <w:t>废弃木模板</w:t>
            </w:r>
          </w:p>
        </w:tc>
      </w:tr>
    </w:tbl>
    <w:p w14:paraId="1165129B">
      <w:pPr>
        <w:pageBreakBefore w:val="0"/>
        <w:kinsoku/>
        <w:wordWrap/>
        <w:topLinePunct w:val="0"/>
        <w:bidi w:val="0"/>
        <w:spacing w:beforeAutospacing="0" w:afterAutospacing="0" w:line="560" w:lineRule="exact"/>
        <w:ind w:left="0" w:leftChars="0"/>
        <w:rPr>
          <w:rFonts w:hint="eastAsia"/>
          <w:color w:val="auto"/>
          <w:u w:val="none"/>
        </w:rPr>
      </w:pPr>
    </w:p>
    <w:p w14:paraId="627B0176">
      <w:pPr>
        <w:pageBreakBefore w:val="0"/>
        <w:kinsoku/>
        <w:wordWrap/>
        <w:topLinePunct w:val="0"/>
        <w:bidi w:val="0"/>
        <w:spacing w:beforeAutospacing="0" w:afterAutospacing="0" w:line="560" w:lineRule="exact"/>
        <w:ind w:left="0" w:leftChars="0"/>
        <w:rPr>
          <w:rFonts w:hint="eastAsia" w:ascii="Times New Roman" w:hAnsi="Times New Roman" w:eastAsia="仿宋_GB2312" w:cs="Times New Roman"/>
          <w:color w:val="auto"/>
          <w:sz w:val="32"/>
          <w:szCs w:val="32"/>
          <w:u w:val="none"/>
          <w:lang w:val="en-US" w:eastAsia="zh-CN"/>
        </w:rPr>
      </w:pPr>
      <w:r>
        <w:rPr>
          <w:rFonts w:hint="eastAsia" w:ascii="Times New Roman" w:hAnsi="Times New Roman" w:eastAsia="仿宋_GB2312" w:cs="Times New Roman"/>
          <w:color w:val="auto"/>
          <w:sz w:val="32"/>
          <w:szCs w:val="32"/>
          <w:u w:val="none"/>
          <w:lang w:val="en-US" w:eastAsia="zh-CN"/>
        </w:rPr>
        <w:t>⑤施工现场分类应达到一级分类要求，可根据实际与需要实行一级和二级中某类并存分类。</w:t>
      </w:r>
    </w:p>
    <w:p w14:paraId="28E3FD21">
      <w:pPr>
        <w:pageBreakBefore w:val="0"/>
        <w:kinsoku/>
        <w:wordWrap/>
        <w:topLinePunct w:val="0"/>
        <w:bidi w:val="0"/>
        <w:spacing w:beforeAutospacing="0" w:afterAutospacing="0" w:line="560" w:lineRule="exact"/>
        <w:ind w:left="0" w:leftChars="0"/>
        <w:rPr>
          <w:rFonts w:hint="eastAsia" w:ascii="Times New Roman" w:hAnsi="Times New Roman" w:eastAsia="仿宋_GB2312" w:cs="Times New Roman"/>
          <w:color w:val="auto"/>
          <w:sz w:val="32"/>
          <w:szCs w:val="32"/>
          <w:u w:val="none"/>
          <w:lang w:val="en-US" w:eastAsia="zh-CN"/>
        </w:rPr>
      </w:pPr>
      <w:r>
        <w:rPr>
          <w:rFonts w:hint="eastAsia" w:ascii="Times New Roman" w:hAnsi="Times New Roman" w:eastAsia="仿宋_GB2312" w:cs="Times New Roman"/>
          <w:color w:val="auto"/>
          <w:sz w:val="32"/>
          <w:szCs w:val="32"/>
          <w:u w:val="none"/>
          <w:lang w:val="en-US" w:eastAsia="zh-CN"/>
        </w:rPr>
        <w:t>⑥场地充足和条件许可时，宜进行二级分类。二级分类中，混凝土、水泥制品、砂石类和砖瓦、陶瓷、砂浆、轻型墙体材料类中的无机杂质质量占比不应大于</w:t>
      </w:r>
      <w:r>
        <w:rPr>
          <w:rFonts w:hint="default" w:ascii="Times New Roman" w:hAnsi="Times New Roman" w:eastAsia="仿宋_GB2312" w:cs="Times New Roman"/>
          <w:color w:val="auto"/>
          <w:sz w:val="32"/>
          <w:szCs w:val="32"/>
          <w:u w:val="none"/>
          <w:lang w:val="en-US" w:eastAsia="zh-CN"/>
        </w:rPr>
        <w:t>10</w:t>
      </w:r>
      <w:r>
        <w:rPr>
          <w:rFonts w:hint="eastAsia" w:ascii="Times New Roman" w:hAnsi="Times New Roman" w:eastAsia="仿宋_GB2312" w:cs="Times New Roman"/>
          <w:color w:val="auto"/>
          <w:sz w:val="32"/>
          <w:szCs w:val="32"/>
          <w:u w:val="none"/>
          <w:lang w:val="en-US" w:eastAsia="zh-CN"/>
        </w:rPr>
        <w:t>%，有机轻物质质量占比不应大于</w:t>
      </w:r>
      <w:r>
        <w:rPr>
          <w:rFonts w:hint="default" w:ascii="Times New Roman" w:hAnsi="Times New Roman" w:eastAsia="仿宋_GB2312" w:cs="Times New Roman"/>
          <w:color w:val="auto"/>
          <w:sz w:val="32"/>
          <w:szCs w:val="32"/>
          <w:u w:val="none"/>
          <w:lang w:val="en-US" w:eastAsia="zh-CN"/>
        </w:rPr>
        <w:t>1</w:t>
      </w:r>
      <w:r>
        <w:rPr>
          <w:rFonts w:hint="eastAsia" w:ascii="Times New Roman" w:hAnsi="Times New Roman" w:eastAsia="仿宋_GB2312" w:cs="Times New Roman"/>
          <w:color w:val="auto"/>
          <w:sz w:val="32"/>
          <w:szCs w:val="32"/>
          <w:u w:val="none"/>
          <w:lang w:val="en-US" w:eastAsia="zh-CN"/>
        </w:rPr>
        <w:t>%。</w:t>
      </w:r>
    </w:p>
    <w:p w14:paraId="71ADDD4F">
      <w:pPr>
        <w:pageBreakBefore w:val="0"/>
        <w:kinsoku/>
        <w:wordWrap/>
        <w:topLinePunct w:val="0"/>
        <w:bidi w:val="0"/>
        <w:spacing w:beforeAutospacing="0" w:afterAutospacing="0" w:line="560" w:lineRule="exact"/>
        <w:ind w:left="0" w:leftChars="0"/>
        <w:rPr>
          <w:rFonts w:hint="eastAsia"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val="en-US" w:eastAsia="zh-CN"/>
        </w:rPr>
        <w:t>⑦</w:t>
      </w:r>
      <w:r>
        <w:rPr>
          <w:rFonts w:hint="eastAsia" w:ascii="Times New Roman" w:hAnsi="Times New Roman" w:eastAsia="仿宋_GB2312" w:cs="Times New Roman"/>
          <w:color w:val="auto"/>
          <w:sz w:val="32"/>
          <w:szCs w:val="32"/>
          <w:u w:val="none"/>
          <w:lang w:val="en-US" w:eastAsia="zh-CN"/>
        </w:rPr>
        <w:t>工程周边一定距离内具有任意二级类别垃圾回收利用设施时，宜将相应类别的垃圾单独收集。</w:t>
      </w:r>
    </w:p>
    <w:p w14:paraId="0232E00A">
      <w:pPr>
        <w:pageBreakBefore w:val="0"/>
        <w:kinsoku/>
        <w:wordWrap/>
        <w:topLinePunct w:val="0"/>
        <w:bidi w:val="0"/>
        <w:spacing w:beforeAutospacing="0" w:afterAutospacing="0" w:line="560" w:lineRule="exact"/>
        <w:ind w:left="0" w:leftChars="0"/>
        <w:rPr>
          <w:rFonts w:hint="eastAsia"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val="en-US" w:eastAsia="zh-CN"/>
        </w:rPr>
        <w:t>⑧</w:t>
      </w:r>
      <w:r>
        <w:rPr>
          <w:rFonts w:hint="eastAsia" w:ascii="Times New Roman" w:hAnsi="Times New Roman" w:eastAsia="仿宋_GB2312" w:cs="Times New Roman"/>
          <w:color w:val="auto"/>
          <w:sz w:val="32"/>
          <w:szCs w:val="32"/>
          <w:u w:val="none"/>
          <w:lang w:val="en-US" w:eastAsia="zh-CN"/>
        </w:rPr>
        <w:t>工程垃圾在施工现场内的转运可采用铲车、垃圾清扫车等水平设施或密闭通道、电梯等垂直设施。</w:t>
      </w:r>
    </w:p>
    <w:p w14:paraId="14016FFF">
      <w:pPr>
        <w:pageBreakBefore w:val="0"/>
        <w:kinsoku/>
        <w:wordWrap/>
        <w:topLinePunct w:val="0"/>
        <w:bidi w:val="0"/>
        <w:spacing w:beforeAutospacing="0" w:afterAutospacing="0" w:line="560" w:lineRule="exact"/>
        <w:ind w:left="0" w:leftChars="0"/>
        <w:rPr>
          <w:rFonts w:hint="eastAsia"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val="en-US" w:eastAsia="zh-CN"/>
        </w:rPr>
        <w:t>⑨</w:t>
      </w:r>
      <w:r>
        <w:rPr>
          <w:rFonts w:hint="eastAsia" w:ascii="Times New Roman" w:hAnsi="Times New Roman" w:eastAsia="仿宋_GB2312" w:cs="Times New Roman"/>
          <w:color w:val="auto"/>
          <w:sz w:val="32"/>
          <w:szCs w:val="32"/>
          <w:u w:val="none"/>
          <w:lang w:val="en-US" w:eastAsia="zh-CN"/>
        </w:rPr>
        <w:t>施工现场内应设置用于工程垃圾初次分拣的专用场地和设施。</w:t>
      </w:r>
    </w:p>
    <w:p w14:paraId="52845FAC">
      <w:pPr>
        <w:pageBreakBefore w:val="0"/>
        <w:kinsoku/>
        <w:wordWrap/>
        <w:topLinePunct w:val="0"/>
        <w:bidi w:val="0"/>
        <w:spacing w:beforeAutospacing="0" w:afterAutospacing="0" w:line="560" w:lineRule="exact"/>
        <w:ind w:left="0" w:leftChars="0"/>
        <w:rPr>
          <w:rFonts w:hint="eastAsia"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val="en-US" w:eastAsia="zh-CN"/>
        </w:rPr>
        <w:t>⑩</w:t>
      </w:r>
      <w:r>
        <w:rPr>
          <w:rFonts w:hint="eastAsia" w:ascii="Times New Roman" w:hAnsi="Times New Roman" w:eastAsia="仿宋_GB2312" w:cs="Times New Roman"/>
          <w:color w:val="auto"/>
          <w:sz w:val="32"/>
          <w:szCs w:val="32"/>
          <w:u w:val="none"/>
          <w:lang w:val="en-US" w:eastAsia="zh-CN"/>
        </w:rPr>
        <w:t>工程垃圾宜随时收集至收集箱、存放池存放。</w:t>
      </w:r>
    </w:p>
    <w:p w14:paraId="0070F3D3">
      <w:pPr>
        <w:pageBreakBefore w:val="0"/>
        <w:kinsoku/>
        <w:wordWrap/>
        <w:topLinePunct w:val="0"/>
        <w:bidi w:val="0"/>
        <w:spacing w:beforeAutospacing="0" w:afterAutospacing="0" w:line="560" w:lineRule="exact"/>
        <w:ind w:left="0" w:leftChars="0"/>
        <w:rPr>
          <w:rFonts w:hint="eastAsia" w:ascii="Times New Roman" w:hAnsi="Times New Roman" w:eastAsia="仿宋_GB2312" w:cs="Times New Roman"/>
          <w:color w:val="auto"/>
          <w:sz w:val="32"/>
          <w:szCs w:val="32"/>
          <w:u w:val="none"/>
          <w:lang w:val="en-US" w:eastAsia="zh-CN"/>
        </w:rPr>
      </w:pPr>
      <w:r>
        <w:rPr>
          <w:rFonts w:hint="eastAsia" w:ascii="黑体" w:hAnsi="黑体" w:eastAsia="黑体" w:cs="黑体"/>
          <w:color w:val="auto"/>
          <w:sz w:val="32"/>
          <w:szCs w:val="32"/>
          <w:u w:val="none"/>
          <w:lang w:val="en-US" w:eastAsia="zh-CN"/>
        </w:rPr>
        <w:t>⑪</w:t>
      </w:r>
      <w:r>
        <w:rPr>
          <w:rFonts w:hint="eastAsia" w:ascii="Times New Roman" w:hAnsi="Times New Roman" w:eastAsia="仿宋_GB2312" w:cs="Times New Roman"/>
          <w:color w:val="auto"/>
          <w:sz w:val="32"/>
          <w:szCs w:val="32"/>
          <w:u w:val="none"/>
          <w:lang w:val="en-US" w:eastAsia="zh-CN"/>
        </w:rPr>
        <w:t>楼层内的工程垃圾，应采用封闭的垃圾道、小型斗车或吊斗运至堆放点，严禁向下抛掷。</w:t>
      </w:r>
    </w:p>
    <w:p w14:paraId="18B898C0">
      <w:pPr>
        <w:pageBreakBefore w:val="0"/>
        <w:kinsoku/>
        <w:wordWrap/>
        <w:topLinePunct w:val="0"/>
        <w:bidi w:val="0"/>
        <w:spacing w:beforeAutospacing="0" w:afterAutospacing="0" w:line="560" w:lineRule="exact"/>
        <w:ind w:left="0" w:leftChars="0"/>
        <w:rPr>
          <w:rFonts w:hint="eastAsia"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val="en-US" w:eastAsia="zh-CN"/>
        </w:rPr>
        <w:t>⑫</w:t>
      </w:r>
      <w:r>
        <w:rPr>
          <w:rFonts w:hint="eastAsia" w:ascii="Times New Roman" w:hAnsi="Times New Roman" w:eastAsia="仿宋_GB2312" w:cs="Times New Roman"/>
          <w:color w:val="auto"/>
          <w:sz w:val="32"/>
          <w:szCs w:val="32"/>
          <w:u w:val="none"/>
          <w:lang w:val="en-US" w:eastAsia="zh-CN"/>
        </w:rPr>
        <w:t>存放区均应设置分类标识，各分类堆放区之间应设置隔挡设施。</w:t>
      </w:r>
    </w:p>
    <w:p w14:paraId="066F0B51">
      <w:pPr>
        <w:pageBreakBefore w:val="0"/>
        <w:kinsoku/>
        <w:wordWrap/>
        <w:topLinePunct w:val="0"/>
        <w:bidi w:val="0"/>
        <w:spacing w:beforeAutospacing="0" w:afterAutospacing="0" w:line="560" w:lineRule="exact"/>
        <w:ind w:left="0" w:leftChars="0"/>
        <w:rPr>
          <w:rFonts w:hint="eastAsia"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val="en-US" w:eastAsia="zh-CN"/>
        </w:rPr>
        <w:t>⑬</w:t>
      </w:r>
      <w:r>
        <w:rPr>
          <w:rFonts w:hint="eastAsia" w:ascii="Times New Roman" w:hAnsi="Times New Roman" w:eastAsia="仿宋_GB2312" w:cs="Times New Roman"/>
          <w:color w:val="auto"/>
          <w:sz w:val="32"/>
          <w:szCs w:val="32"/>
          <w:u w:val="none"/>
          <w:lang w:val="en-US" w:eastAsia="zh-CN"/>
        </w:rPr>
        <w:t>无机非金属类垃圾采用铲车装卸时，堆放区应留有便于铲车作业的场地。</w:t>
      </w:r>
    </w:p>
    <w:p w14:paraId="7D1E495D">
      <w:pPr>
        <w:pageBreakBefore w:val="0"/>
        <w:kinsoku/>
        <w:wordWrap/>
        <w:topLinePunct w:val="0"/>
        <w:bidi w:val="0"/>
        <w:spacing w:beforeAutospacing="0" w:afterAutospacing="0" w:line="560" w:lineRule="exact"/>
        <w:ind w:left="0" w:leftChars="0"/>
        <w:rPr>
          <w:rFonts w:hint="eastAsia"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val="en-US" w:eastAsia="zh-CN"/>
        </w:rPr>
        <w:t>⑭</w:t>
      </w:r>
      <w:r>
        <w:rPr>
          <w:rFonts w:hint="eastAsia" w:ascii="Times New Roman" w:hAnsi="Times New Roman" w:eastAsia="仿宋_GB2312" w:cs="Times New Roman"/>
          <w:color w:val="auto"/>
          <w:sz w:val="32"/>
          <w:szCs w:val="32"/>
          <w:u w:val="none"/>
          <w:lang w:val="en-US" w:eastAsia="zh-CN"/>
        </w:rPr>
        <w:t>木材、纸类堆放区域应采取防雨措施。</w:t>
      </w:r>
    </w:p>
    <w:p w14:paraId="404BB21D">
      <w:pPr>
        <w:pageBreakBefore w:val="0"/>
        <w:kinsoku/>
        <w:wordWrap/>
        <w:topLinePunct w:val="0"/>
        <w:bidi w:val="0"/>
        <w:spacing w:beforeAutospacing="0" w:afterAutospacing="0" w:line="560" w:lineRule="exact"/>
        <w:ind w:left="0" w:leftChars="0"/>
        <w:rPr>
          <w:rFonts w:hint="eastAsia" w:ascii="Times New Roman" w:hAnsi="Times New Roman" w:eastAsia="仿宋_GB2312" w:cs="Times New Roman"/>
          <w:color w:val="auto"/>
          <w:sz w:val="32"/>
          <w:szCs w:val="32"/>
          <w:u w:val="none"/>
          <w:lang w:val="en-US" w:eastAsia="zh-CN"/>
        </w:rPr>
      </w:pPr>
      <w:r>
        <w:rPr>
          <w:rFonts w:hint="eastAsia" w:ascii="Times New Roman" w:hAnsi="Times New Roman" w:eastAsia="仿宋_GB2312" w:cs="Times New Roman"/>
          <w:color w:val="auto"/>
          <w:sz w:val="32"/>
          <w:szCs w:val="32"/>
          <w:u w:val="none"/>
          <w:lang w:val="en-US" w:eastAsia="zh-CN"/>
        </w:rPr>
        <w:t>⑮钢铁类、木材存放时应码放整齐。</w:t>
      </w:r>
    </w:p>
    <w:p w14:paraId="2B64A642">
      <w:pPr>
        <w:pageBreakBefore w:val="0"/>
        <w:kinsoku/>
        <w:wordWrap/>
        <w:topLinePunct w:val="0"/>
        <w:bidi w:val="0"/>
        <w:spacing w:beforeAutospacing="0" w:afterAutospacing="0" w:line="560" w:lineRule="exact"/>
        <w:ind w:left="0" w:leftChars="0"/>
        <w:rPr>
          <w:rFonts w:hint="eastAsia" w:ascii="Times New Roman" w:hAnsi="Times New Roman" w:eastAsia="仿宋_GB2312" w:cs="Times New Roman"/>
          <w:color w:val="auto"/>
          <w:sz w:val="32"/>
          <w:szCs w:val="32"/>
          <w:u w:val="none"/>
          <w:lang w:val="en-US" w:eastAsia="zh-CN"/>
        </w:rPr>
      </w:pPr>
      <w:r>
        <w:rPr>
          <w:rFonts w:hint="eastAsia" w:ascii="Times New Roman" w:hAnsi="Times New Roman" w:eastAsia="仿宋_GB2312" w:cs="Times New Roman"/>
          <w:color w:val="auto"/>
          <w:sz w:val="32"/>
          <w:szCs w:val="32"/>
          <w:u w:val="none"/>
          <w:lang w:val="en-US" w:eastAsia="zh-CN"/>
        </w:rPr>
        <w:t>（</w:t>
      </w:r>
      <w:r>
        <w:rPr>
          <w:rFonts w:hint="default" w:ascii="Times New Roman" w:hAnsi="Times New Roman" w:eastAsia="仿宋_GB2312" w:cs="Times New Roman"/>
          <w:color w:val="auto"/>
          <w:sz w:val="32"/>
          <w:szCs w:val="32"/>
          <w:u w:val="none"/>
          <w:lang w:val="en-US" w:eastAsia="zh-CN"/>
        </w:rPr>
        <w:t>5</w:t>
      </w:r>
      <w:r>
        <w:rPr>
          <w:rFonts w:hint="eastAsia" w:ascii="Times New Roman" w:hAnsi="Times New Roman" w:eastAsia="仿宋_GB2312" w:cs="Times New Roman"/>
          <w:color w:val="auto"/>
          <w:sz w:val="32"/>
          <w:szCs w:val="32"/>
          <w:u w:val="none"/>
          <w:lang w:val="en-US" w:eastAsia="zh-CN"/>
        </w:rPr>
        <w:t>）拆除垃圾</w:t>
      </w:r>
    </w:p>
    <w:p w14:paraId="38511286">
      <w:pPr>
        <w:pageBreakBefore w:val="0"/>
        <w:kinsoku/>
        <w:wordWrap/>
        <w:topLinePunct w:val="0"/>
        <w:bidi w:val="0"/>
        <w:spacing w:beforeAutospacing="0" w:afterAutospacing="0" w:line="560" w:lineRule="exact"/>
        <w:ind w:left="0" w:leftChars="0"/>
        <w:rPr>
          <w:rFonts w:hint="eastAsia"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val="en-US" w:eastAsia="zh-CN"/>
        </w:rPr>
        <w:t>①</w:t>
      </w:r>
      <w:r>
        <w:rPr>
          <w:rFonts w:hint="eastAsia" w:ascii="Times New Roman" w:hAnsi="Times New Roman" w:eastAsia="仿宋_GB2312" w:cs="Times New Roman"/>
          <w:color w:val="auto"/>
          <w:sz w:val="32"/>
          <w:szCs w:val="32"/>
          <w:u w:val="none"/>
          <w:lang w:val="en-US" w:eastAsia="zh-CN"/>
        </w:rPr>
        <w:t>拆除施工前应按照拆除物类型、结构形式估算拆除垃圾产生量，并结合施工条件、当地市场需求、资源化出路等制订拆除垃圾分类收集方案、分类拆除施工方案，做到拆除垃圾分类收集高效、安全和有序。</w:t>
      </w:r>
    </w:p>
    <w:p w14:paraId="363CE265">
      <w:pPr>
        <w:pageBreakBefore w:val="0"/>
        <w:kinsoku/>
        <w:wordWrap/>
        <w:topLinePunct w:val="0"/>
        <w:bidi w:val="0"/>
        <w:spacing w:beforeAutospacing="0" w:afterAutospacing="0" w:line="560" w:lineRule="exact"/>
        <w:ind w:left="0" w:leftChars="0"/>
        <w:rPr>
          <w:rFonts w:hint="eastAsia"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val="en-US" w:eastAsia="zh-CN"/>
        </w:rPr>
        <w:t>②</w:t>
      </w:r>
      <w:r>
        <w:rPr>
          <w:rFonts w:hint="eastAsia" w:ascii="Times New Roman" w:hAnsi="Times New Roman" w:eastAsia="仿宋_GB2312" w:cs="Times New Roman"/>
          <w:color w:val="auto"/>
          <w:sz w:val="32"/>
          <w:szCs w:val="32"/>
          <w:u w:val="none"/>
          <w:lang w:val="en-US" w:eastAsia="zh-CN"/>
        </w:rPr>
        <w:t>拆除垃圾中无机非金属类宜就近、就地处理利用。</w:t>
      </w:r>
    </w:p>
    <w:p w14:paraId="1D4DEADF">
      <w:pPr>
        <w:pageBreakBefore w:val="0"/>
        <w:kinsoku/>
        <w:wordWrap/>
        <w:topLinePunct w:val="0"/>
        <w:bidi w:val="0"/>
        <w:spacing w:beforeAutospacing="0" w:afterAutospacing="0" w:line="560" w:lineRule="exact"/>
        <w:ind w:left="0" w:leftChars="0"/>
        <w:rPr>
          <w:rFonts w:hint="eastAsia"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val="en-US" w:eastAsia="zh-CN"/>
        </w:rPr>
        <w:t>③</w:t>
      </w:r>
      <w:r>
        <w:rPr>
          <w:rFonts w:hint="eastAsia" w:ascii="Times New Roman" w:hAnsi="Times New Roman" w:eastAsia="仿宋_GB2312" w:cs="Times New Roman"/>
          <w:color w:val="auto"/>
          <w:sz w:val="32"/>
          <w:szCs w:val="32"/>
          <w:u w:val="none"/>
          <w:lang w:val="en-US" w:eastAsia="zh-CN"/>
        </w:rPr>
        <w:t>拆除垃圾应根据材料性质、组分进行一级和二级分类。拆除垃圾分类及来源应符合下表的规定。</w:t>
      </w:r>
    </w:p>
    <w:p w14:paraId="37FB3502">
      <w:pPr>
        <w:pageBreakBefore w:val="0"/>
        <w:kinsoku/>
        <w:wordWrap/>
        <w:topLinePunct w:val="0"/>
        <w:bidi w:val="0"/>
        <w:spacing w:beforeAutospacing="0" w:afterAutospacing="0" w:line="560" w:lineRule="exact"/>
        <w:ind w:left="0" w:leftChars="0"/>
        <w:jc w:val="center"/>
        <w:rPr>
          <w:rFonts w:hint="eastAsia" w:ascii="仿宋_GB2312" w:hAnsi="仿宋_GB2312" w:eastAsia="仿宋_GB2312" w:cs="仿宋_GB2312"/>
          <w:b w:val="0"/>
          <w:bCs w:val="0"/>
          <w:color w:val="auto"/>
          <w:sz w:val="32"/>
          <w:szCs w:val="32"/>
          <w:u w:val="none"/>
          <w:lang w:val="en-US" w:eastAsia="zh-CN"/>
        </w:rPr>
      </w:pPr>
      <w:r>
        <w:rPr>
          <w:rFonts w:hint="eastAsia" w:ascii="Times New Roman" w:hAnsi="Times New Roman" w:eastAsia="仿宋_GB2312" w:cs="Times New Roman"/>
          <w:color w:val="auto"/>
          <w:sz w:val="32"/>
          <w:szCs w:val="32"/>
          <w:u w:val="none"/>
          <w:lang w:val="en-US" w:eastAsia="zh-CN"/>
        </w:rPr>
        <w:t>表：拆除垃圾分类及来源</w:t>
      </w:r>
    </w:p>
    <w:tbl>
      <w:tblPr>
        <w:tblStyle w:val="17"/>
        <w:tblW w:w="881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08"/>
        <w:gridCol w:w="2745"/>
        <w:gridCol w:w="4463"/>
      </w:tblGrid>
      <w:tr w14:paraId="3F73D9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1608" w:type="dxa"/>
            <w:vAlign w:val="center"/>
          </w:tcPr>
          <w:p w14:paraId="29EAD72E">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黑体" w:hAnsi="黑体" w:eastAsia="黑体" w:cs="黑体"/>
                <w:color w:val="auto"/>
                <w:sz w:val="24"/>
                <w:szCs w:val="24"/>
                <w:u w:val="none"/>
                <w:vertAlign w:val="baseline"/>
                <w:lang w:eastAsia="zh-CN"/>
              </w:rPr>
            </w:pPr>
            <w:r>
              <w:rPr>
                <w:rFonts w:hint="eastAsia" w:ascii="黑体" w:hAnsi="黑体" w:eastAsia="黑体" w:cs="黑体"/>
                <w:color w:val="auto"/>
                <w:sz w:val="24"/>
                <w:szCs w:val="24"/>
                <w:u w:val="none"/>
                <w:vertAlign w:val="baseline"/>
                <w:lang w:eastAsia="zh-CN"/>
              </w:rPr>
              <w:t>一级分类</w:t>
            </w:r>
          </w:p>
        </w:tc>
        <w:tc>
          <w:tcPr>
            <w:tcW w:w="2745" w:type="dxa"/>
            <w:vAlign w:val="center"/>
          </w:tcPr>
          <w:p w14:paraId="34C2E002">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黑体" w:hAnsi="黑体" w:eastAsia="黑体" w:cs="黑体"/>
                <w:color w:val="auto"/>
                <w:sz w:val="24"/>
                <w:szCs w:val="24"/>
                <w:u w:val="none"/>
                <w:vertAlign w:val="baseline"/>
                <w:lang w:eastAsia="zh-CN"/>
              </w:rPr>
            </w:pPr>
            <w:r>
              <w:rPr>
                <w:rFonts w:hint="eastAsia" w:ascii="黑体" w:hAnsi="黑体" w:eastAsia="黑体" w:cs="黑体"/>
                <w:color w:val="auto"/>
                <w:sz w:val="24"/>
                <w:szCs w:val="24"/>
                <w:u w:val="none"/>
                <w:vertAlign w:val="baseline"/>
                <w:lang w:eastAsia="zh-CN"/>
              </w:rPr>
              <w:t>二级分类</w:t>
            </w:r>
          </w:p>
        </w:tc>
        <w:tc>
          <w:tcPr>
            <w:tcW w:w="4463" w:type="dxa"/>
            <w:vAlign w:val="center"/>
          </w:tcPr>
          <w:p w14:paraId="276A0B71">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黑体" w:hAnsi="黑体" w:eastAsia="黑体" w:cs="黑体"/>
                <w:color w:val="auto"/>
                <w:sz w:val="24"/>
                <w:szCs w:val="24"/>
                <w:u w:val="none"/>
                <w:vertAlign w:val="baseline"/>
                <w:lang w:eastAsia="zh-CN"/>
              </w:rPr>
            </w:pPr>
            <w:r>
              <w:rPr>
                <w:rFonts w:hint="eastAsia" w:ascii="黑体" w:hAnsi="黑体" w:eastAsia="黑体" w:cs="黑体"/>
                <w:color w:val="auto"/>
                <w:sz w:val="24"/>
                <w:szCs w:val="24"/>
                <w:u w:val="none"/>
                <w:vertAlign w:val="baseline"/>
                <w:lang w:eastAsia="zh-CN"/>
              </w:rPr>
              <w:t>主要来源</w:t>
            </w:r>
          </w:p>
        </w:tc>
      </w:tr>
      <w:tr w14:paraId="32325E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608" w:type="dxa"/>
            <w:vMerge w:val="restart"/>
            <w:vAlign w:val="center"/>
          </w:tcPr>
          <w:p w14:paraId="57A6DDBB">
            <w:pPr>
              <w:keepNext w:val="0"/>
              <w:keepLines w:val="0"/>
              <w:pageBreakBefore w:val="0"/>
              <w:widowControl w:val="0"/>
              <w:kinsoku/>
              <w:wordWrap/>
              <w:overflowPunct/>
              <w:topLinePunct w:val="0"/>
              <w:autoSpaceDE/>
              <w:autoSpaceDN/>
              <w:bidi w:val="0"/>
              <w:adjustRightInd/>
              <w:snapToGrid/>
              <w:spacing w:beforeAutospacing="0" w:afterAutospacing="0" w:line="360" w:lineRule="exact"/>
              <w:ind w:left="0" w:leftChars="0" w:firstLine="0" w:firstLineChars="0"/>
              <w:textAlignment w:val="auto"/>
              <w:rPr>
                <w:rFonts w:hint="eastAsia" w:ascii="仿宋_GB2312" w:hAnsi="仿宋_GB2312" w:eastAsia="仿宋_GB2312" w:cs="仿宋_GB2312"/>
                <w:color w:val="auto"/>
                <w:spacing w:val="0"/>
                <w:kern w:val="2"/>
                <w:sz w:val="24"/>
                <w:szCs w:val="24"/>
                <w:u w:val="none"/>
                <w:vertAlign w:val="baseline"/>
                <w:lang w:val="en-US" w:eastAsia="zh-CN" w:bidi="ar-SA"/>
              </w:rPr>
            </w:pPr>
            <w:r>
              <w:rPr>
                <w:rFonts w:hint="eastAsia" w:ascii="仿宋_GB2312" w:hAnsi="仿宋_GB2312" w:eastAsia="仿宋_GB2312" w:cs="仿宋_GB2312"/>
                <w:color w:val="auto"/>
                <w:spacing w:val="0"/>
                <w:kern w:val="2"/>
                <w:sz w:val="24"/>
                <w:szCs w:val="24"/>
                <w:u w:val="none"/>
                <w:vertAlign w:val="baseline"/>
                <w:lang w:val="en-US" w:eastAsia="zh-CN" w:bidi="ar-SA"/>
              </w:rPr>
              <w:t>无机非金属类</w:t>
            </w:r>
          </w:p>
        </w:tc>
        <w:tc>
          <w:tcPr>
            <w:tcW w:w="2745" w:type="dxa"/>
            <w:vAlign w:val="center"/>
          </w:tcPr>
          <w:p w14:paraId="25863A06">
            <w:pPr>
              <w:keepNext w:val="0"/>
              <w:keepLines w:val="0"/>
              <w:pageBreakBefore w:val="0"/>
              <w:widowControl w:val="0"/>
              <w:kinsoku/>
              <w:wordWrap/>
              <w:overflowPunct/>
              <w:topLinePunct w:val="0"/>
              <w:autoSpaceDE/>
              <w:autoSpaceDN/>
              <w:bidi w:val="0"/>
              <w:adjustRightInd/>
              <w:snapToGrid/>
              <w:spacing w:beforeAutospacing="0" w:afterAutospacing="0" w:line="360" w:lineRule="exact"/>
              <w:ind w:left="0" w:leftChars="0" w:firstLine="0" w:firstLineChars="0"/>
              <w:textAlignment w:val="auto"/>
              <w:rPr>
                <w:rFonts w:hint="eastAsia" w:ascii="仿宋_GB2312" w:hAnsi="仿宋_GB2312" w:eastAsia="仿宋_GB2312" w:cs="仿宋_GB2312"/>
                <w:color w:val="auto"/>
                <w:spacing w:val="0"/>
                <w:kern w:val="2"/>
                <w:sz w:val="24"/>
                <w:szCs w:val="24"/>
                <w:u w:val="none"/>
                <w:vertAlign w:val="baseline"/>
                <w:lang w:val="en-US" w:eastAsia="zh-CN" w:bidi="ar-SA"/>
              </w:rPr>
            </w:pPr>
            <w:r>
              <w:rPr>
                <w:rFonts w:hint="eastAsia" w:ascii="仿宋_GB2312" w:hAnsi="仿宋_GB2312" w:eastAsia="仿宋_GB2312" w:cs="仿宋_GB2312"/>
                <w:color w:val="auto"/>
                <w:spacing w:val="0"/>
                <w:kern w:val="2"/>
                <w:sz w:val="24"/>
                <w:szCs w:val="24"/>
                <w:u w:val="none"/>
                <w:vertAlign w:val="baseline"/>
                <w:lang w:val="en-US" w:eastAsia="zh-CN" w:bidi="ar-SA"/>
              </w:rPr>
              <w:t>混凝土</w:t>
            </w:r>
          </w:p>
        </w:tc>
        <w:tc>
          <w:tcPr>
            <w:tcW w:w="4463" w:type="dxa"/>
            <w:vAlign w:val="center"/>
          </w:tcPr>
          <w:p w14:paraId="09B33796">
            <w:pPr>
              <w:keepNext w:val="0"/>
              <w:keepLines w:val="0"/>
              <w:pageBreakBefore w:val="0"/>
              <w:widowControl w:val="0"/>
              <w:kinsoku/>
              <w:wordWrap/>
              <w:overflowPunct/>
              <w:topLinePunct w:val="0"/>
              <w:autoSpaceDE/>
              <w:autoSpaceDN/>
              <w:bidi w:val="0"/>
              <w:adjustRightInd/>
              <w:snapToGrid/>
              <w:spacing w:beforeAutospacing="0" w:afterAutospacing="0" w:line="360" w:lineRule="exact"/>
              <w:ind w:left="0" w:leftChars="0" w:firstLine="0" w:firstLineChars="0"/>
              <w:textAlignment w:val="auto"/>
              <w:rPr>
                <w:rFonts w:hint="eastAsia" w:ascii="仿宋_GB2312" w:hAnsi="仿宋_GB2312" w:eastAsia="仿宋_GB2312" w:cs="仿宋_GB2312"/>
                <w:color w:val="auto"/>
                <w:spacing w:val="0"/>
                <w:kern w:val="2"/>
                <w:sz w:val="24"/>
                <w:szCs w:val="24"/>
                <w:u w:val="none"/>
                <w:vertAlign w:val="baseline"/>
                <w:lang w:val="en-US" w:eastAsia="zh-CN" w:bidi="ar-SA"/>
              </w:rPr>
            </w:pPr>
            <w:r>
              <w:rPr>
                <w:rFonts w:hint="eastAsia" w:ascii="仿宋_GB2312" w:hAnsi="仿宋_GB2312" w:eastAsia="仿宋_GB2312" w:cs="仿宋_GB2312"/>
                <w:color w:val="auto"/>
                <w:spacing w:val="0"/>
                <w:kern w:val="2"/>
                <w:sz w:val="24"/>
                <w:szCs w:val="24"/>
                <w:u w:val="none"/>
                <w:vertAlign w:val="baseline"/>
                <w:lang w:val="en-US" w:eastAsia="zh-CN" w:bidi="ar-SA"/>
              </w:rPr>
              <w:t>建(构)筑物的梁板柱、基础等，主体结构及墙体地面、道路等</w:t>
            </w:r>
          </w:p>
        </w:tc>
      </w:tr>
      <w:tr w14:paraId="44B722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608" w:type="dxa"/>
            <w:vMerge w:val="continue"/>
            <w:vAlign w:val="center"/>
          </w:tcPr>
          <w:p w14:paraId="47ADFDED">
            <w:pPr>
              <w:keepNext w:val="0"/>
              <w:keepLines w:val="0"/>
              <w:pageBreakBefore w:val="0"/>
              <w:widowControl w:val="0"/>
              <w:kinsoku/>
              <w:wordWrap/>
              <w:overflowPunct/>
              <w:topLinePunct w:val="0"/>
              <w:autoSpaceDE/>
              <w:autoSpaceDN/>
              <w:bidi w:val="0"/>
              <w:adjustRightInd/>
              <w:snapToGrid/>
              <w:spacing w:beforeAutospacing="0" w:afterAutospacing="0" w:line="360" w:lineRule="exact"/>
              <w:ind w:left="0" w:leftChars="0" w:firstLine="0" w:firstLineChars="0"/>
              <w:textAlignment w:val="auto"/>
              <w:rPr>
                <w:rFonts w:hint="eastAsia" w:ascii="仿宋_GB2312" w:hAnsi="仿宋_GB2312" w:eastAsia="仿宋_GB2312" w:cs="仿宋_GB2312"/>
                <w:color w:val="auto"/>
                <w:spacing w:val="0"/>
                <w:kern w:val="2"/>
                <w:sz w:val="24"/>
                <w:szCs w:val="24"/>
                <w:u w:val="none"/>
                <w:vertAlign w:val="baseline"/>
                <w:lang w:val="en-US" w:eastAsia="zh-CN" w:bidi="ar-SA"/>
              </w:rPr>
            </w:pPr>
          </w:p>
          <w:p w14:paraId="2421FA32">
            <w:pPr>
              <w:keepNext w:val="0"/>
              <w:keepLines w:val="0"/>
              <w:pageBreakBefore w:val="0"/>
              <w:widowControl w:val="0"/>
              <w:kinsoku/>
              <w:wordWrap/>
              <w:overflowPunct/>
              <w:topLinePunct w:val="0"/>
              <w:autoSpaceDE/>
              <w:autoSpaceDN/>
              <w:bidi w:val="0"/>
              <w:adjustRightInd/>
              <w:snapToGrid/>
              <w:spacing w:beforeAutospacing="0" w:afterAutospacing="0" w:line="360" w:lineRule="exact"/>
              <w:ind w:left="0" w:leftChars="0" w:firstLine="0" w:firstLineChars="0"/>
              <w:textAlignment w:val="auto"/>
              <w:rPr>
                <w:rFonts w:hint="eastAsia" w:ascii="仿宋_GB2312" w:hAnsi="仿宋_GB2312" w:eastAsia="仿宋_GB2312" w:cs="仿宋_GB2312"/>
                <w:color w:val="auto"/>
                <w:spacing w:val="0"/>
                <w:kern w:val="2"/>
                <w:sz w:val="24"/>
                <w:szCs w:val="24"/>
                <w:u w:val="none"/>
                <w:vertAlign w:val="baseline"/>
                <w:lang w:val="en-US" w:eastAsia="zh-CN" w:bidi="ar-SA"/>
              </w:rPr>
            </w:pPr>
          </w:p>
        </w:tc>
        <w:tc>
          <w:tcPr>
            <w:tcW w:w="2745" w:type="dxa"/>
            <w:vAlign w:val="center"/>
          </w:tcPr>
          <w:p w14:paraId="50B5C5FB">
            <w:pPr>
              <w:keepNext w:val="0"/>
              <w:keepLines w:val="0"/>
              <w:pageBreakBefore w:val="0"/>
              <w:widowControl w:val="0"/>
              <w:kinsoku/>
              <w:wordWrap/>
              <w:overflowPunct/>
              <w:topLinePunct w:val="0"/>
              <w:autoSpaceDE/>
              <w:autoSpaceDN/>
              <w:bidi w:val="0"/>
              <w:adjustRightInd/>
              <w:snapToGrid/>
              <w:spacing w:beforeAutospacing="0" w:afterAutospacing="0" w:line="360" w:lineRule="exact"/>
              <w:ind w:left="0" w:leftChars="0" w:firstLine="0" w:firstLineChars="0"/>
              <w:textAlignment w:val="auto"/>
              <w:rPr>
                <w:rFonts w:hint="eastAsia" w:ascii="仿宋_GB2312" w:hAnsi="仿宋_GB2312" w:eastAsia="仿宋_GB2312" w:cs="仿宋_GB2312"/>
                <w:color w:val="auto"/>
                <w:spacing w:val="0"/>
                <w:kern w:val="2"/>
                <w:sz w:val="24"/>
                <w:szCs w:val="24"/>
                <w:u w:val="none"/>
                <w:vertAlign w:val="baseline"/>
                <w:lang w:val="en-US" w:eastAsia="zh-CN" w:bidi="ar-SA"/>
              </w:rPr>
            </w:pPr>
            <w:r>
              <w:rPr>
                <w:rFonts w:hint="eastAsia" w:ascii="仿宋_GB2312" w:hAnsi="仿宋_GB2312" w:eastAsia="仿宋_GB2312" w:cs="仿宋_GB2312"/>
                <w:color w:val="auto"/>
                <w:spacing w:val="0"/>
                <w:kern w:val="2"/>
                <w:sz w:val="24"/>
                <w:szCs w:val="24"/>
                <w:u w:val="none"/>
                <w:vertAlign w:val="baseline"/>
                <w:lang w:val="en-US" w:eastAsia="zh-CN" w:bidi="ar-SA"/>
              </w:rPr>
              <w:t>石材</w:t>
            </w:r>
          </w:p>
        </w:tc>
        <w:tc>
          <w:tcPr>
            <w:tcW w:w="4463" w:type="dxa"/>
            <w:vAlign w:val="center"/>
          </w:tcPr>
          <w:p w14:paraId="14610499">
            <w:pPr>
              <w:keepNext w:val="0"/>
              <w:keepLines w:val="0"/>
              <w:pageBreakBefore w:val="0"/>
              <w:widowControl w:val="0"/>
              <w:kinsoku/>
              <w:wordWrap/>
              <w:overflowPunct/>
              <w:topLinePunct w:val="0"/>
              <w:autoSpaceDE/>
              <w:autoSpaceDN/>
              <w:bidi w:val="0"/>
              <w:adjustRightInd/>
              <w:snapToGrid/>
              <w:spacing w:beforeAutospacing="0" w:afterAutospacing="0" w:line="360" w:lineRule="exact"/>
              <w:ind w:left="0" w:leftChars="0" w:firstLine="0" w:firstLineChars="0"/>
              <w:textAlignment w:val="auto"/>
              <w:rPr>
                <w:rFonts w:hint="eastAsia" w:ascii="仿宋_GB2312" w:hAnsi="仿宋_GB2312" w:eastAsia="仿宋_GB2312" w:cs="仿宋_GB2312"/>
                <w:color w:val="auto"/>
                <w:spacing w:val="0"/>
                <w:kern w:val="2"/>
                <w:sz w:val="24"/>
                <w:szCs w:val="24"/>
                <w:u w:val="none"/>
                <w:vertAlign w:val="baseline"/>
                <w:lang w:val="en-US" w:eastAsia="zh-CN" w:bidi="ar-SA"/>
              </w:rPr>
            </w:pPr>
            <w:r>
              <w:rPr>
                <w:rFonts w:hint="eastAsia" w:ascii="仿宋_GB2312" w:hAnsi="仿宋_GB2312" w:eastAsia="仿宋_GB2312" w:cs="仿宋_GB2312"/>
                <w:color w:val="auto"/>
                <w:spacing w:val="0"/>
                <w:kern w:val="2"/>
                <w:sz w:val="24"/>
                <w:szCs w:val="24"/>
                <w:u w:val="none"/>
                <w:vertAlign w:val="baseline"/>
                <w:lang w:val="en-US" w:eastAsia="zh-CN" w:bidi="ar-SA"/>
              </w:rPr>
              <w:t>地面、路缘石、装饰台面等</w:t>
            </w:r>
          </w:p>
        </w:tc>
      </w:tr>
      <w:tr w14:paraId="14C20A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608" w:type="dxa"/>
            <w:vMerge w:val="continue"/>
            <w:vAlign w:val="center"/>
          </w:tcPr>
          <w:p w14:paraId="50A9C457">
            <w:pPr>
              <w:pStyle w:val="15"/>
              <w:keepNext w:val="0"/>
              <w:keepLines w:val="0"/>
              <w:pageBreakBefore w:val="0"/>
              <w:widowControl w:val="0"/>
              <w:kinsoku/>
              <w:wordWrap/>
              <w:overflowPunct/>
              <w:topLinePunct w:val="0"/>
              <w:bidi w:val="0"/>
              <w:adjustRightInd/>
              <w:snapToGrid/>
              <w:spacing w:beforeAutospacing="0" w:afterAutospacing="0" w:line="360" w:lineRule="exact"/>
              <w:ind w:left="0" w:leftChars="0"/>
              <w:textAlignment w:val="auto"/>
              <w:rPr>
                <w:rFonts w:hint="eastAsia" w:ascii="仿宋_GB2312" w:hAnsi="仿宋_GB2312" w:eastAsia="仿宋_GB2312" w:cs="仿宋_GB2312"/>
                <w:color w:val="auto"/>
                <w:spacing w:val="0"/>
                <w:kern w:val="2"/>
                <w:sz w:val="24"/>
                <w:szCs w:val="24"/>
                <w:u w:val="none"/>
                <w:vertAlign w:val="baseline"/>
                <w:lang w:val="en-US" w:eastAsia="zh-CN" w:bidi="ar-SA"/>
              </w:rPr>
            </w:pPr>
          </w:p>
        </w:tc>
        <w:tc>
          <w:tcPr>
            <w:tcW w:w="2745" w:type="dxa"/>
            <w:vAlign w:val="center"/>
          </w:tcPr>
          <w:p w14:paraId="291437C3">
            <w:pPr>
              <w:keepNext w:val="0"/>
              <w:keepLines w:val="0"/>
              <w:pageBreakBefore w:val="0"/>
              <w:widowControl w:val="0"/>
              <w:kinsoku/>
              <w:wordWrap/>
              <w:overflowPunct/>
              <w:topLinePunct w:val="0"/>
              <w:autoSpaceDE/>
              <w:autoSpaceDN/>
              <w:bidi w:val="0"/>
              <w:adjustRightInd/>
              <w:snapToGrid/>
              <w:spacing w:beforeAutospacing="0" w:afterAutospacing="0" w:line="360" w:lineRule="exact"/>
              <w:ind w:left="0" w:leftChars="0" w:firstLine="0" w:firstLineChars="0"/>
              <w:textAlignment w:val="auto"/>
              <w:rPr>
                <w:rFonts w:hint="eastAsia" w:ascii="仿宋_GB2312" w:hAnsi="仿宋_GB2312" w:eastAsia="仿宋_GB2312" w:cs="仿宋_GB2312"/>
                <w:color w:val="auto"/>
                <w:spacing w:val="0"/>
                <w:kern w:val="2"/>
                <w:sz w:val="24"/>
                <w:szCs w:val="24"/>
                <w:u w:val="none"/>
                <w:vertAlign w:val="baseline"/>
                <w:lang w:val="en-US" w:eastAsia="zh-CN" w:bidi="ar-SA"/>
              </w:rPr>
            </w:pPr>
            <w:r>
              <w:rPr>
                <w:rFonts w:hint="eastAsia" w:ascii="仿宋_GB2312" w:hAnsi="仿宋_GB2312" w:eastAsia="仿宋_GB2312" w:cs="仿宋_GB2312"/>
                <w:color w:val="auto"/>
                <w:spacing w:val="0"/>
                <w:kern w:val="2"/>
                <w:sz w:val="24"/>
                <w:szCs w:val="24"/>
                <w:u w:val="none"/>
                <w:vertAlign w:val="baseline"/>
                <w:lang w:val="en-US" w:eastAsia="zh-CN" w:bidi="ar-SA"/>
              </w:rPr>
              <w:t>砖瓦和砌块﹡</w:t>
            </w:r>
          </w:p>
        </w:tc>
        <w:tc>
          <w:tcPr>
            <w:tcW w:w="4463" w:type="dxa"/>
            <w:vAlign w:val="center"/>
          </w:tcPr>
          <w:p w14:paraId="2E48CD6D">
            <w:pPr>
              <w:keepNext w:val="0"/>
              <w:keepLines w:val="0"/>
              <w:pageBreakBefore w:val="0"/>
              <w:widowControl w:val="0"/>
              <w:kinsoku/>
              <w:wordWrap/>
              <w:overflowPunct/>
              <w:topLinePunct w:val="0"/>
              <w:autoSpaceDE/>
              <w:autoSpaceDN/>
              <w:bidi w:val="0"/>
              <w:adjustRightInd/>
              <w:snapToGrid/>
              <w:spacing w:beforeAutospacing="0" w:afterAutospacing="0" w:line="360" w:lineRule="exact"/>
              <w:ind w:left="0" w:leftChars="0" w:firstLine="0" w:firstLineChars="0"/>
              <w:textAlignment w:val="auto"/>
              <w:rPr>
                <w:rFonts w:hint="eastAsia" w:ascii="仿宋_GB2312" w:hAnsi="仿宋_GB2312" w:eastAsia="仿宋_GB2312" w:cs="仿宋_GB2312"/>
                <w:color w:val="auto"/>
                <w:spacing w:val="0"/>
                <w:kern w:val="2"/>
                <w:sz w:val="24"/>
                <w:szCs w:val="24"/>
                <w:u w:val="none"/>
                <w:vertAlign w:val="baseline"/>
                <w:lang w:val="en-US" w:eastAsia="zh-CN" w:bidi="ar-SA"/>
              </w:rPr>
            </w:pPr>
            <w:r>
              <w:rPr>
                <w:rFonts w:hint="eastAsia" w:ascii="仿宋_GB2312" w:hAnsi="仿宋_GB2312" w:eastAsia="仿宋_GB2312" w:cs="仿宋_GB2312"/>
                <w:color w:val="auto"/>
                <w:spacing w:val="0"/>
                <w:kern w:val="2"/>
                <w:sz w:val="24"/>
                <w:szCs w:val="24"/>
                <w:u w:val="none"/>
                <w:vertAlign w:val="baseline"/>
                <w:lang w:val="en-US" w:eastAsia="zh-CN" w:bidi="ar-SA"/>
              </w:rPr>
              <w:t>墙体、地面、屋顶、步道等</w:t>
            </w:r>
          </w:p>
        </w:tc>
      </w:tr>
      <w:tr w14:paraId="53AF76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608" w:type="dxa"/>
            <w:vMerge w:val="continue"/>
            <w:vAlign w:val="center"/>
          </w:tcPr>
          <w:p w14:paraId="1D20E790">
            <w:pPr>
              <w:pStyle w:val="15"/>
              <w:keepNext w:val="0"/>
              <w:keepLines w:val="0"/>
              <w:pageBreakBefore w:val="0"/>
              <w:widowControl w:val="0"/>
              <w:kinsoku/>
              <w:wordWrap/>
              <w:overflowPunct/>
              <w:topLinePunct w:val="0"/>
              <w:bidi w:val="0"/>
              <w:adjustRightInd/>
              <w:snapToGrid/>
              <w:spacing w:beforeAutospacing="0" w:afterAutospacing="0" w:line="360" w:lineRule="exact"/>
              <w:ind w:left="0" w:leftChars="0"/>
              <w:textAlignment w:val="auto"/>
              <w:rPr>
                <w:rFonts w:hint="eastAsia" w:ascii="仿宋_GB2312" w:hAnsi="仿宋_GB2312" w:eastAsia="仿宋_GB2312" w:cs="仿宋_GB2312"/>
                <w:color w:val="auto"/>
                <w:spacing w:val="0"/>
                <w:kern w:val="2"/>
                <w:sz w:val="24"/>
                <w:szCs w:val="24"/>
                <w:u w:val="none"/>
                <w:vertAlign w:val="baseline"/>
                <w:lang w:val="en-US" w:eastAsia="zh-CN" w:bidi="ar-SA"/>
              </w:rPr>
            </w:pPr>
          </w:p>
        </w:tc>
        <w:tc>
          <w:tcPr>
            <w:tcW w:w="2745" w:type="dxa"/>
            <w:vAlign w:val="center"/>
          </w:tcPr>
          <w:p w14:paraId="464F5DA2">
            <w:pPr>
              <w:keepNext w:val="0"/>
              <w:keepLines w:val="0"/>
              <w:pageBreakBefore w:val="0"/>
              <w:widowControl w:val="0"/>
              <w:kinsoku/>
              <w:wordWrap/>
              <w:overflowPunct/>
              <w:topLinePunct w:val="0"/>
              <w:autoSpaceDE/>
              <w:autoSpaceDN/>
              <w:bidi w:val="0"/>
              <w:adjustRightInd/>
              <w:snapToGrid/>
              <w:spacing w:beforeAutospacing="0" w:afterAutospacing="0" w:line="360" w:lineRule="exact"/>
              <w:ind w:left="0" w:leftChars="0" w:firstLine="0" w:firstLineChars="0"/>
              <w:textAlignment w:val="auto"/>
              <w:rPr>
                <w:rFonts w:hint="eastAsia" w:ascii="仿宋_GB2312" w:hAnsi="仿宋_GB2312" w:eastAsia="仿宋_GB2312" w:cs="仿宋_GB2312"/>
                <w:color w:val="auto"/>
                <w:spacing w:val="0"/>
                <w:kern w:val="2"/>
                <w:sz w:val="24"/>
                <w:szCs w:val="24"/>
                <w:u w:val="none"/>
                <w:vertAlign w:val="baseline"/>
                <w:lang w:val="en-US" w:eastAsia="zh-CN" w:bidi="ar-SA"/>
              </w:rPr>
            </w:pPr>
            <w:r>
              <w:rPr>
                <w:rFonts w:hint="eastAsia" w:ascii="仿宋_GB2312" w:hAnsi="仿宋_GB2312" w:eastAsia="仿宋_GB2312" w:cs="仿宋_GB2312"/>
                <w:color w:val="auto"/>
                <w:spacing w:val="0"/>
                <w:kern w:val="2"/>
                <w:sz w:val="24"/>
                <w:szCs w:val="24"/>
                <w:u w:val="none"/>
                <w:vertAlign w:val="baseline"/>
                <w:lang w:val="en-US" w:eastAsia="zh-CN" w:bidi="ar-SA"/>
              </w:rPr>
              <w:t>陶瓷</w:t>
            </w:r>
          </w:p>
        </w:tc>
        <w:tc>
          <w:tcPr>
            <w:tcW w:w="4463" w:type="dxa"/>
            <w:vAlign w:val="center"/>
          </w:tcPr>
          <w:p w14:paraId="5AC06B53">
            <w:pPr>
              <w:keepNext w:val="0"/>
              <w:keepLines w:val="0"/>
              <w:pageBreakBefore w:val="0"/>
              <w:widowControl w:val="0"/>
              <w:kinsoku/>
              <w:wordWrap/>
              <w:overflowPunct/>
              <w:topLinePunct w:val="0"/>
              <w:autoSpaceDE/>
              <w:autoSpaceDN/>
              <w:bidi w:val="0"/>
              <w:adjustRightInd/>
              <w:snapToGrid/>
              <w:spacing w:beforeAutospacing="0" w:afterAutospacing="0" w:line="360" w:lineRule="exact"/>
              <w:ind w:left="0" w:leftChars="0" w:firstLine="0" w:firstLineChars="0"/>
              <w:textAlignment w:val="auto"/>
              <w:rPr>
                <w:rFonts w:hint="eastAsia" w:ascii="仿宋_GB2312" w:hAnsi="仿宋_GB2312" w:eastAsia="仿宋_GB2312" w:cs="仿宋_GB2312"/>
                <w:color w:val="auto"/>
                <w:spacing w:val="0"/>
                <w:kern w:val="2"/>
                <w:sz w:val="24"/>
                <w:szCs w:val="24"/>
                <w:u w:val="none"/>
                <w:vertAlign w:val="baseline"/>
                <w:lang w:val="en-US" w:eastAsia="zh-CN" w:bidi="ar-SA"/>
              </w:rPr>
            </w:pPr>
            <w:r>
              <w:rPr>
                <w:rFonts w:hint="eastAsia" w:ascii="仿宋_GB2312" w:hAnsi="仿宋_GB2312" w:eastAsia="仿宋_GB2312" w:cs="仿宋_GB2312"/>
                <w:color w:val="auto"/>
                <w:spacing w:val="0"/>
                <w:kern w:val="2"/>
                <w:sz w:val="24"/>
                <w:szCs w:val="24"/>
                <w:u w:val="none"/>
                <w:vertAlign w:val="baseline"/>
                <w:lang w:val="en-US" w:eastAsia="zh-CN" w:bidi="ar-SA"/>
              </w:rPr>
              <w:t>卫生洁具等</w:t>
            </w:r>
          </w:p>
        </w:tc>
      </w:tr>
      <w:tr w14:paraId="22490A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608" w:type="dxa"/>
            <w:vMerge w:val="continue"/>
            <w:vAlign w:val="center"/>
          </w:tcPr>
          <w:p w14:paraId="224E7CC1">
            <w:pPr>
              <w:pStyle w:val="15"/>
              <w:keepNext w:val="0"/>
              <w:keepLines w:val="0"/>
              <w:pageBreakBefore w:val="0"/>
              <w:widowControl w:val="0"/>
              <w:kinsoku/>
              <w:wordWrap/>
              <w:overflowPunct/>
              <w:topLinePunct w:val="0"/>
              <w:bidi w:val="0"/>
              <w:adjustRightInd/>
              <w:snapToGrid/>
              <w:spacing w:beforeAutospacing="0" w:afterAutospacing="0" w:line="360" w:lineRule="exact"/>
              <w:ind w:left="0" w:leftChars="0"/>
              <w:textAlignment w:val="auto"/>
              <w:rPr>
                <w:rFonts w:hint="eastAsia" w:ascii="仿宋_GB2312" w:hAnsi="仿宋_GB2312" w:eastAsia="仿宋_GB2312" w:cs="仿宋_GB2312"/>
                <w:color w:val="auto"/>
                <w:spacing w:val="0"/>
                <w:kern w:val="2"/>
                <w:sz w:val="24"/>
                <w:szCs w:val="24"/>
                <w:u w:val="none"/>
                <w:vertAlign w:val="baseline"/>
                <w:lang w:val="en-US" w:eastAsia="zh-CN" w:bidi="ar-SA"/>
              </w:rPr>
            </w:pPr>
          </w:p>
        </w:tc>
        <w:tc>
          <w:tcPr>
            <w:tcW w:w="2745" w:type="dxa"/>
            <w:vAlign w:val="center"/>
          </w:tcPr>
          <w:p w14:paraId="0FD34200">
            <w:pPr>
              <w:keepNext w:val="0"/>
              <w:keepLines w:val="0"/>
              <w:pageBreakBefore w:val="0"/>
              <w:widowControl w:val="0"/>
              <w:kinsoku/>
              <w:wordWrap/>
              <w:overflowPunct/>
              <w:topLinePunct w:val="0"/>
              <w:autoSpaceDE/>
              <w:autoSpaceDN/>
              <w:bidi w:val="0"/>
              <w:adjustRightInd/>
              <w:snapToGrid/>
              <w:spacing w:beforeAutospacing="0" w:afterAutospacing="0" w:line="360" w:lineRule="exact"/>
              <w:ind w:left="0" w:leftChars="0" w:firstLine="0" w:firstLineChars="0"/>
              <w:textAlignment w:val="auto"/>
              <w:rPr>
                <w:rFonts w:hint="eastAsia" w:ascii="仿宋_GB2312" w:hAnsi="仿宋_GB2312" w:eastAsia="仿宋_GB2312" w:cs="仿宋_GB2312"/>
                <w:color w:val="auto"/>
                <w:spacing w:val="0"/>
                <w:kern w:val="2"/>
                <w:sz w:val="24"/>
                <w:szCs w:val="24"/>
                <w:u w:val="none"/>
                <w:vertAlign w:val="baseline"/>
                <w:lang w:val="en-US" w:eastAsia="zh-CN" w:bidi="ar-SA"/>
              </w:rPr>
            </w:pPr>
            <w:r>
              <w:rPr>
                <w:rFonts w:hint="eastAsia" w:ascii="仿宋_GB2312" w:hAnsi="仿宋_GB2312" w:eastAsia="仿宋_GB2312" w:cs="仿宋_GB2312"/>
                <w:color w:val="auto"/>
                <w:spacing w:val="0"/>
                <w:kern w:val="2"/>
                <w:sz w:val="24"/>
                <w:szCs w:val="24"/>
                <w:u w:val="none"/>
                <w:vertAlign w:val="baseline"/>
                <w:lang w:val="en-US" w:eastAsia="zh-CN" w:bidi="ar-SA"/>
              </w:rPr>
              <w:t>玻璃</w:t>
            </w:r>
          </w:p>
        </w:tc>
        <w:tc>
          <w:tcPr>
            <w:tcW w:w="4463" w:type="dxa"/>
            <w:vAlign w:val="center"/>
          </w:tcPr>
          <w:p w14:paraId="3FA48170">
            <w:pPr>
              <w:keepNext w:val="0"/>
              <w:keepLines w:val="0"/>
              <w:pageBreakBefore w:val="0"/>
              <w:widowControl w:val="0"/>
              <w:kinsoku/>
              <w:wordWrap/>
              <w:overflowPunct/>
              <w:topLinePunct w:val="0"/>
              <w:autoSpaceDE/>
              <w:autoSpaceDN/>
              <w:bidi w:val="0"/>
              <w:adjustRightInd/>
              <w:snapToGrid/>
              <w:spacing w:beforeAutospacing="0" w:afterAutospacing="0" w:line="360" w:lineRule="exact"/>
              <w:ind w:left="0" w:leftChars="0" w:firstLine="0" w:firstLineChars="0"/>
              <w:textAlignment w:val="auto"/>
              <w:rPr>
                <w:rFonts w:hint="eastAsia" w:ascii="仿宋_GB2312" w:hAnsi="仿宋_GB2312" w:eastAsia="仿宋_GB2312" w:cs="仿宋_GB2312"/>
                <w:color w:val="auto"/>
                <w:spacing w:val="0"/>
                <w:kern w:val="2"/>
                <w:sz w:val="24"/>
                <w:szCs w:val="24"/>
                <w:u w:val="none"/>
                <w:vertAlign w:val="baseline"/>
                <w:lang w:val="en-US" w:eastAsia="zh-CN" w:bidi="ar-SA"/>
              </w:rPr>
            </w:pPr>
            <w:r>
              <w:rPr>
                <w:rFonts w:hint="eastAsia" w:ascii="仿宋_GB2312" w:hAnsi="仿宋_GB2312" w:eastAsia="仿宋_GB2312" w:cs="仿宋_GB2312"/>
                <w:color w:val="auto"/>
                <w:spacing w:val="0"/>
                <w:kern w:val="2"/>
                <w:sz w:val="24"/>
                <w:szCs w:val="24"/>
                <w:u w:val="none"/>
                <w:vertAlign w:val="baseline"/>
                <w:lang w:val="en-US" w:eastAsia="zh-CN" w:bidi="ar-SA"/>
              </w:rPr>
              <w:t>门窗、幕墙、家具、广告牌等</w:t>
            </w:r>
          </w:p>
        </w:tc>
      </w:tr>
      <w:tr w14:paraId="4830CF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608" w:type="dxa"/>
            <w:vMerge w:val="continue"/>
            <w:vAlign w:val="center"/>
          </w:tcPr>
          <w:p w14:paraId="47183F69">
            <w:pPr>
              <w:keepNext w:val="0"/>
              <w:keepLines w:val="0"/>
              <w:pageBreakBefore w:val="0"/>
              <w:widowControl w:val="0"/>
              <w:kinsoku/>
              <w:wordWrap/>
              <w:overflowPunct/>
              <w:topLinePunct w:val="0"/>
              <w:autoSpaceDE/>
              <w:autoSpaceDN/>
              <w:bidi w:val="0"/>
              <w:adjustRightInd/>
              <w:snapToGrid/>
              <w:spacing w:beforeAutospacing="0" w:afterAutospacing="0" w:line="360" w:lineRule="exact"/>
              <w:ind w:left="0" w:leftChars="0" w:firstLine="0" w:firstLineChars="0"/>
              <w:textAlignment w:val="auto"/>
              <w:rPr>
                <w:rFonts w:hint="eastAsia" w:ascii="仿宋_GB2312" w:hAnsi="仿宋_GB2312" w:eastAsia="仿宋_GB2312" w:cs="仿宋_GB2312"/>
                <w:color w:val="auto"/>
                <w:sz w:val="24"/>
                <w:szCs w:val="24"/>
                <w:u w:val="none"/>
                <w:vertAlign w:val="baseline"/>
                <w:lang w:eastAsia="zh-CN"/>
              </w:rPr>
            </w:pPr>
          </w:p>
        </w:tc>
        <w:tc>
          <w:tcPr>
            <w:tcW w:w="2745" w:type="dxa"/>
            <w:vAlign w:val="center"/>
          </w:tcPr>
          <w:p w14:paraId="769A6CE6">
            <w:pPr>
              <w:keepNext w:val="0"/>
              <w:keepLines w:val="0"/>
              <w:pageBreakBefore w:val="0"/>
              <w:widowControl w:val="0"/>
              <w:kinsoku/>
              <w:wordWrap/>
              <w:overflowPunct/>
              <w:topLinePunct w:val="0"/>
              <w:autoSpaceDE/>
              <w:autoSpaceDN/>
              <w:bidi w:val="0"/>
              <w:adjustRightInd/>
              <w:snapToGrid/>
              <w:spacing w:beforeAutospacing="0" w:afterAutospacing="0" w:line="360" w:lineRule="exact"/>
              <w:ind w:left="0" w:leftChars="0" w:firstLine="0" w:firstLineChars="0"/>
              <w:textAlignment w:val="auto"/>
              <w:rPr>
                <w:rFonts w:hint="eastAsia" w:ascii="仿宋_GB2312" w:hAnsi="仿宋_GB2312" w:eastAsia="仿宋_GB2312" w:cs="仿宋_GB2312"/>
                <w:color w:val="auto"/>
                <w:sz w:val="24"/>
                <w:szCs w:val="24"/>
                <w:u w:val="none"/>
                <w:vertAlign w:val="baseline"/>
              </w:rPr>
            </w:pPr>
            <w:r>
              <w:rPr>
                <w:rFonts w:hint="eastAsia" w:ascii="仿宋_GB2312" w:hAnsi="仿宋_GB2312" w:eastAsia="仿宋_GB2312" w:cs="仿宋_GB2312"/>
                <w:color w:val="auto"/>
                <w:sz w:val="24"/>
                <w:szCs w:val="24"/>
                <w:u w:val="none"/>
                <w:vertAlign w:val="baseline"/>
              </w:rPr>
              <w:t>轻型墙体材料</w:t>
            </w:r>
          </w:p>
        </w:tc>
        <w:tc>
          <w:tcPr>
            <w:tcW w:w="4463" w:type="dxa"/>
            <w:vAlign w:val="center"/>
          </w:tcPr>
          <w:p w14:paraId="06561DDD">
            <w:pPr>
              <w:keepNext w:val="0"/>
              <w:keepLines w:val="0"/>
              <w:pageBreakBefore w:val="0"/>
              <w:widowControl w:val="0"/>
              <w:kinsoku/>
              <w:wordWrap/>
              <w:overflowPunct/>
              <w:topLinePunct w:val="0"/>
              <w:autoSpaceDE/>
              <w:autoSpaceDN/>
              <w:bidi w:val="0"/>
              <w:adjustRightInd/>
              <w:snapToGrid/>
              <w:spacing w:beforeAutospacing="0" w:afterAutospacing="0" w:line="360" w:lineRule="exact"/>
              <w:ind w:left="0" w:leftChars="0" w:firstLine="0" w:firstLineChars="0"/>
              <w:textAlignment w:val="auto"/>
              <w:rPr>
                <w:rFonts w:hint="eastAsia" w:ascii="仿宋_GB2312" w:hAnsi="仿宋_GB2312" w:eastAsia="仿宋_GB2312" w:cs="仿宋_GB2312"/>
                <w:color w:val="auto"/>
                <w:sz w:val="24"/>
                <w:szCs w:val="24"/>
                <w:u w:val="none"/>
                <w:vertAlign w:val="baseline"/>
              </w:rPr>
            </w:pPr>
            <w:r>
              <w:rPr>
                <w:rFonts w:hint="eastAsia" w:ascii="仿宋_GB2312" w:hAnsi="仿宋_GB2312" w:eastAsia="仿宋_GB2312" w:cs="仿宋_GB2312"/>
                <w:color w:val="auto"/>
                <w:sz w:val="24"/>
                <w:szCs w:val="24"/>
                <w:u w:val="none"/>
                <w:vertAlign w:val="baseline"/>
              </w:rPr>
              <w:t>墙体</w:t>
            </w:r>
          </w:p>
        </w:tc>
      </w:tr>
      <w:tr w14:paraId="1E8C98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608" w:type="dxa"/>
            <w:vMerge w:val="continue"/>
            <w:vAlign w:val="center"/>
          </w:tcPr>
          <w:p w14:paraId="5EEBF218">
            <w:pPr>
              <w:keepNext w:val="0"/>
              <w:keepLines w:val="0"/>
              <w:pageBreakBefore w:val="0"/>
              <w:widowControl w:val="0"/>
              <w:kinsoku/>
              <w:wordWrap/>
              <w:overflowPunct/>
              <w:topLinePunct w:val="0"/>
              <w:autoSpaceDE/>
              <w:autoSpaceDN/>
              <w:bidi w:val="0"/>
              <w:adjustRightInd/>
              <w:snapToGrid/>
              <w:spacing w:beforeAutospacing="0" w:afterAutospacing="0" w:line="360" w:lineRule="exact"/>
              <w:ind w:left="0" w:leftChars="0" w:firstLine="0" w:firstLineChars="0"/>
              <w:textAlignment w:val="auto"/>
              <w:rPr>
                <w:rFonts w:hint="eastAsia" w:ascii="仿宋_GB2312" w:hAnsi="仿宋_GB2312" w:eastAsia="仿宋_GB2312" w:cs="仿宋_GB2312"/>
                <w:color w:val="auto"/>
                <w:sz w:val="24"/>
                <w:szCs w:val="24"/>
                <w:u w:val="none"/>
                <w:vertAlign w:val="baseline"/>
                <w:lang w:eastAsia="zh-CN"/>
              </w:rPr>
            </w:pPr>
          </w:p>
        </w:tc>
        <w:tc>
          <w:tcPr>
            <w:tcW w:w="2745" w:type="dxa"/>
            <w:vAlign w:val="center"/>
          </w:tcPr>
          <w:p w14:paraId="50B11B6A">
            <w:pPr>
              <w:keepNext w:val="0"/>
              <w:keepLines w:val="0"/>
              <w:pageBreakBefore w:val="0"/>
              <w:widowControl w:val="0"/>
              <w:kinsoku/>
              <w:wordWrap/>
              <w:overflowPunct/>
              <w:topLinePunct w:val="0"/>
              <w:autoSpaceDE/>
              <w:autoSpaceDN/>
              <w:bidi w:val="0"/>
              <w:adjustRightInd/>
              <w:snapToGrid/>
              <w:spacing w:beforeAutospacing="0" w:afterAutospacing="0" w:line="360" w:lineRule="exact"/>
              <w:ind w:left="0" w:leftChars="0" w:firstLine="0" w:firstLineChars="0"/>
              <w:textAlignment w:val="auto"/>
              <w:rPr>
                <w:rFonts w:hint="eastAsia" w:ascii="仿宋_GB2312" w:hAnsi="仿宋_GB2312" w:eastAsia="仿宋_GB2312" w:cs="仿宋_GB2312"/>
                <w:color w:val="auto"/>
                <w:sz w:val="24"/>
                <w:szCs w:val="24"/>
                <w:u w:val="none"/>
                <w:vertAlign w:val="baseline"/>
              </w:rPr>
            </w:pPr>
            <w:r>
              <w:rPr>
                <w:rFonts w:hint="eastAsia" w:ascii="仿宋_GB2312" w:hAnsi="仿宋_GB2312" w:eastAsia="仿宋_GB2312" w:cs="仿宋_GB2312"/>
                <w:color w:val="auto"/>
                <w:sz w:val="24"/>
                <w:szCs w:val="24"/>
                <w:u w:val="none"/>
                <w:vertAlign w:val="baseline"/>
              </w:rPr>
              <w:t>石膏</w:t>
            </w:r>
          </w:p>
        </w:tc>
        <w:tc>
          <w:tcPr>
            <w:tcW w:w="4463" w:type="dxa"/>
            <w:vAlign w:val="center"/>
          </w:tcPr>
          <w:p w14:paraId="0B387617">
            <w:pPr>
              <w:keepNext w:val="0"/>
              <w:keepLines w:val="0"/>
              <w:pageBreakBefore w:val="0"/>
              <w:widowControl w:val="0"/>
              <w:kinsoku/>
              <w:wordWrap/>
              <w:overflowPunct/>
              <w:topLinePunct w:val="0"/>
              <w:autoSpaceDE/>
              <w:autoSpaceDN/>
              <w:bidi w:val="0"/>
              <w:adjustRightInd/>
              <w:snapToGrid/>
              <w:spacing w:beforeAutospacing="0" w:afterAutospacing="0" w:line="360" w:lineRule="exact"/>
              <w:ind w:left="0" w:leftChars="0" w:firstLine="0" w:firstLineChars="0"/>
              <w:textAlignment w:val="auto"/>
              <w:rPr>
                <w:rFonts w:hint="eastAsia" w:ascii="仿宋_GB2312" w:hAnsi="仿宋_GB2312" w:eastAsia="仿宋_GB2312" w:cs="仿宋_GB2312"/>
                <w:color w:val="auto"/>
                <w:sz w:val="24"/>
                <w:szCs w:val="24"/>
                <w:u w:val="none"/>
                <w:vertAlign w:val="baseline"/>
              </w:rPr>
            </w:pPr>
            <w:r>
              <w:rPr>
                <w:rFonts w:hint="eastAsia" w:ascii="仿宋_GB2312" w:hAnsi="仿宋_GB2312" w:eastAsia="仿宋_GB2312" w:cs="仿宋_GB2312"/>
                <w:color w:val="auto"/>
                <w:sz w:val="24"/>
                <w:szCs w:val="24"/>
                <w:u w:val="none"/>
                <w:vertAlign w:val="baseline"/>
              </w:rPr>
              <w:t>吊顶、墙体</w:t>
            </w:r>
          </w:p>
        </w:tc>
      </w:tr>
      <w:tr w14:paraId="112EB3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08" w:type="dxa"/>
            <w:vMerge w:val="continue"/>
            <w:vAlign w:val="center"/>
          </w:tcPr>
          <w:p w14:paraId="400DDBCE">
            <w:pPr>
              <w:keepNext w:val="0"/>
              <w:keepLines w:val="0"/>
              <w:pageBreakBefore w:val="0"/>
              <w:widowControl w:val="0"/>
              <w:kinsoku/>
              <w:wordWrap/>
              <w:overflowPunct/>
              <w:topLinePunct w:val="0"/>
              <w:autoSpaceDE/>
              <w:autoSpaceDN/>
              <w:bidi w:val="0"/>
              <w:adjustRightInd/>
              <w:snapToGrid/>
              <w:spacing w:beforeAutospacing="0" w:afterAutospacing="0" w:line="360" w:lineRule="exact"/>
              <w:ind w:left="0" w:leftChars="0" w:firstLine="0" w:firstLineChars="0"/>
              <w:textAlignment w:val="auto"/>
              <w:rPr>
                <w:rFonts w:hint="eastAsia" w:ascii="仿宋_GB2312" w:hAnsi="仿宋_GB2312" w:eastAsia="仿宋_GB2312" w:cs="仿宋_GB2312"/>
                <w:color w:val="auto"/>
                <w:sz w:val="24"/>
                <w:szCs w:val="24"/>
                <w:u w:val="none"/>
                <w:vertAlign w:val="baseline"/>
              </w:rPr>
            </w:pPr>
          </w:p>
        </w:tc>
        <w:tc>
          <w:tcPr>
            <w:tcW w:w="2745" w:type="dxa"/>
            <w:vAlign w:val="center"/>
          </w:tcPr>
          <w:p w14:paraId="134EE70C">
            <w:pPr>
              <w:keepNext w:val="0"/>
              <w:keepLines w:val="0"/>
              <w:pageBreakBefore w:val="0"/>
              <w:widowControl w:val="0"/>
              <w:kinsoku/>
              <w:wordWrap/>
              <w:overflowPunct/>
              <w:topLinePunct w:val="0"/>
              <w:autoSpaceDE/>
              <w:autoSpaceDN/>
              <w:bidi w:val="0"/>
              <w:adjustRightInd/>
              <w:snapToGrid/>
              <w:spacing w:beforeAutospacing="0" w:afterAutospacing="0" w:line="360" w:lineRule="exact"/>
              <w:ind w:left="0" w:leftChars="0" w:firstLine="0" w:firstLineChars="0"/>
              <w:textAlignment w:val="auto"/>
              <w:rPr>
                <w:rFonts w:hint="eastAsia" w:ascii="仿宋_GB2312" w:hAnsi="仿宋_GB2312" w:eastAsia="仿宋_GB2312" w:cs="仿宋_GB2312"/>
                <w:color w:val="auto"/>
                <w:sz w:val="24"/>
                <w:szCs w:val="24"/>
                <w:u w:val="none"/>
                <w:vertAlign w:val="baseline"/>
                <w:lang w:eastAsia="zh-CN"/>
              </w:rPr>
            </w:pPr>
            <w:r>
              <w:rPr>
                <w:rFonts w:hint="eastAsia" w:ascii="仿宋_GB2312" w:hAnsi="仿宋_GB2312" w:eastAsia="仿宋_GB2312" w:cs="仿宋_GB2312"/>
                <w:color w:val="auto"/>
                <w:sz w:val="24"/>
                <w:szCs w:val="24"/>
                <w:u w:val="none"/>
                <w:vertAlign w:val="baseline"/>
                <w:lang w:eastAsia="zh-CN"/>
              </w:rPr>
              <w:t>土</w:t>
            </w:r>
          </w:p>
        </w:tc>
        <w:tc>
          <w:tcPr>
            <w:tcW w:w="4463" w:type="dxa"/>
            <w:vAlign w:val="center"/>
          </w:tcPr>
          <w:p w14:paraId="2187A509">
            <w:pPr>
              <w:keepNext w:val="0"/>
              <w:keepLines w:val="0"/>
              <w:pageBreakBefore w:val="0"/>
              <w:widowControl w:val="0"/>
              <w:kinsoku/>
              <w:wordWrap/>
              <w:overflowPunct/>
              <w:topLinePunct w:val="0"/>
              <w:autoSpaceDE/>
              <w:autoSpaceDN/>
              <w:bidi w:val="0"/>
              <w:adjustRightInd/>
              <w:snapToGrid/>
              <w:spacing w:beforeAutospacing="0" w:afterAutospacing="0" w:line="360" w:lineRule="exact"/>
              <w:ind w:left="0" w:leftChars="0" w:firstLine="0" w:firstLineChars="0"/>
              <w:textAlignment w:val="auto"/>
              <w:rPr>
                <w:rFonts w:hint="eastAsia" w:ascii="仿宋_GB2312" w:hAnsi="仿宋_GB2312" w:eastAsia="仿宋_GB2312" w:cs="仿宋_GB2312"/>
                <w:color w:val="auto"/>
                <w:sz w:val="24"/>
                <w:szCs w:val="24"/>
                <w:u w:val="none"/>
                <w:vertAlign w:val="baseline"/>
              </w:rPr>
            </w:pPr>
            <w:r>
              <w:rPr>
                <w:rFonts w:hint="eastAsia" w:ascii="仿宋_GB2312" w:hAnsi="仿宋_GB2312" w:eastAsia="仿宋_GB2312" w:cs="仿宋_GB2312"/>
                <w:color w:val="auto"/>
                <w:sz w:val="24"/>
                <w:szCs w:val="24"/>
                <w:u w:val="none"/>
                <w:vertAlign w:val="baseline"/>
              </w:rPr>
              <w:t>墙体、基础</w:t>
            </w:r>
          </w:p>
        </w:tc>
      </w:tr>
      <w:tr w14:paraId="08AEDC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08" w:type="dxa"/>
            <w:vMerge w:val="restart"/>
            <w:vAlign w:val="center"/>
          </w:tcPr>
          <w:p w14:paraId="20F5B3B9">
            <w:pPr>
              <w:keepNext w:val="0"/>
              <w:keepLines w:val="0"/>
              <w:pageBreakBefore w:val="0"/>
              <w:widowControl w:val="0"/>
              <w:kinsoku/>
              <w:wordWrap/>
              <w:overflowPunct/>
              <w:topLinePunct w:val="0"/>
              <w:autoSpaceDE/>
              <w:autoSpaceDN/>
              <w:bidi w:val="0"/>
              <w:adjustRightInd/>
              <w:snapToGrid/>
              <w:spacing w:beforeAutospacing="0" w:afterAutospacing="0" w:line="360" w:lineRule="exact"/>
              <w:ind w:left="0" w:leftChars="0" w:firstLine="0" w:firstLineChars="0"/>
              <w:textAlignment w:val="auto"/>
              <w:rPr>
                <w:rFonts w:hint="eastAsia" w:ascii="仿宋_GB2312" w:hAnsi="仿宋_GB2312" w:eastAsia="仿宋_GB2312" w:cs="仿宋_GB2312"/>
                <w:color w:val="auto"/>
                <w:sz w:val="24"/>
                <w:szCs w:val="24"/>
                <w:u w:val="none"/>
                <w:vertAlign w:val="baseline"/>
              </w:rPr>
            </w:pPr>
            <w:r>
              <w:rPr>
                <w:rFonts w:hint="eastAsia" w:ascii="仿宋_GB2312" w:hAnsi="仿宋_GB2312" w:eastAsia="仿宋_GB2312" w:cs="仿宋_GB2312"/>
                <w:color w:val="auto"/>
                <w:sz w:val="24"/>
                <w:szCs w:val="24"/>
                <w:u w:val="none"/>
                <w:vertAlign w:val="baseline"/>
              </w:rPr>
              <w:t>金属类</w:t>
            </w:r>
          </w:p>
        </w:tc>
        <w:tc>
          <w:tcPr>
            <w:tcW w:w="2745" w:type="dxa"/>
            <w:vAlign w:val="center"/>
          </w:tcPr>
          <w:p w14:paraId="2A697DF8">
            <w:pPr>
              <w:keepNext w:val="0"/>
              <w:keepLines w:val="0"/>
              <w:pageBreakBefore w:val="0"/>
              <w:widowControl w:val="0"/>
              <w:kinsoku/>
              <w:wordWrap/>
              <w:overflowPunct/>
              <w:topLinePunct w:val="0"/>
              <w:autoSpaceDE/>
              <w:autoSpaceDN/>
              <w:bidi w:val="0"/>
              <w:adjustRightInd/>
              <w:snapToGrid/>
              <w:spacing w:beforeAutospacing="0" w:afterAutospacing="0" w:line="360" w:lineRule="exact"/>
              <w:ind w:left="0" w:leftChars="0" w:firstLine="0" w:firstLineChars="0"/>
              <w:textAlignment w:val="auto"/>
              <w:rPr>
                <w:rFonts w:hint="eastAsia" w:ascii="仿宋_GB2312" w:hAnsi="仿宋_GB2312" w:eastAsia="仿宋_GB2312" w:cs="仿宋_GB2312"/>
                <w:color w:val="auto"/>
                <w:sz w:val="24"/>
                <w:szCs w:val="24"/>
                <w:u w:val="none"/>
                <w:vertAlign w:val="baseline"/>
              </w:rPr>
            </w:pPr>
            <w:r>
              <w:rPr>
                <w:rFonts w:hint="eastAsia" w:ascii="仿宋_GB2312" w:hAnsi="仿宋_GB2312" w:eastAsia="仿宋_GB2312" w:cs="仿宋_GB2312"/>
                <w:color w:val="auto"/>
                <w:sz w:val="24"/>
                <w:szCs w:val="24"/>
                <w:u w:val="none"/>
                <w:vertAlign w:val="baseline"/>
              </w:rPr>
              <w:t>钢、铁</w:t>
            </w:r>
          </w:p>
        </w:tc>
        <w:tc>
          <w:tcPr>
            <w:tcW w:w="4463" w:type="dxa"/>
            <w:vAlign w:val="center"/>
          </w:tcPr>
          <w:p w14:paraId="1F3D68BD">
            <w:pPr>
              <w:keepNext w:val="0"/>
              <w:keepLines w:val="0"/>
              <w:pageBreakBefore w:val="0"/>
              <w:widowControl w:val="0"/>
              <w:kinsoku/>
              <w:wordWrap/>
              <w:overflowPunct/>
              <w:topLinePunct w:val="0"/>
              <w:autoSpaceDE/>
              <w:autoSpaceDN/>
              <w:bidi w:val="0"/>
              <w:adjustRightInd/>
              <w:snapToGrid/>
              <w:spacing w:beforeAutospacing="0" w:afterAutospacing="0" w:line="360" w:lineRule="exact"/>
              <w:ind w:left="0" w:leftChars="0" w:firstLine="0" w:firstLineChars="0"/>
              <w:textAlignment w:val="auto"/>
              <w:rPr>
                <w:rFonts w:hint="eastAsia" w:ascii="仿宋_GB2312" w:hAnsi="仿宋_GB2312" w:eastAsia="仿宋_GB2312" w:cs="仿宋_GB2312"/>
                <w:color w:val="auto"/>
                <w:sz w:val="24"/>
                <w:szCs w:val="24"/>
                <w:u w:val="none"/>
                <w:vertAlign w:val="baseline"/>
              </w:rPr>
            </w:pPr>
            <w:r>
              <w:rPr>
                <w:rFonts w:hint="eastAsia" w:ascii="仿宋_GB2312" w:hAnsi="仿宋_GB2312" w:eastAsia="仿宋_GB2312" w:cs="仿宋_GB2312"/>
                <w:color w:val="auto"/>
                <w:sz w:val="24"/>
                <w:szCs w:val="24"/>
                <w:u w:val="none"/>
                <w:vertAlign w:val="baseline"/>
              </w:rPr>
              <w:t>电梯、结构钢材、钢筋混凝土、门窗、广告牌、护栏管道等</w:t>
            </w:r>
          </w:p>
        </w:tc>
      </w:tr>
      <w:tr w14:paraId="632582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08" w:type="dxa"/>
            <w:vMerge w:val="continue"/>
            <w:vAlign w:val="center"/>
          </w:tcPr>
          <w:p w14:paraId="68942C19">
            <w:pPr>
              <w:keepNext w:val="0"/>
              <w:keepLines w:val="0"/>
              <w:pageBreakBefore w:val="0"/>
              <w:widowControl w:val="0"/>
              <w:kinsoku/>
              <w:wordWrap/>
              <w:overflowPunct/>
              <w:topLinePunct w:val="0"/>
              <w:autoSpaceDE/>
              <w:autoSpaceDN/>
              <w:bidi w:val="0"/>
              <w:adjustRightInd/>
              <w:snapToGrid/>
              <w:spacing w:beforeAutospacing="0" w:afterAutospacing="0" w:line="360" w:lineRule="exact"/>
              <w:ind w:left="0" w:leftChars="0" w:firstLine="0" w:firstLineChars="0"/>
              <w:textAlignment w:val="auto"/>
              <w:rPr>
                <w:rFonts w:hint="eastAsia" w:ascii="仿宋_GB2312" w:hAnsi="仿宋_GB2312" w:eastAsia="仿宋_GB2312" w:cs="仿宋_GB2312"/>
                <w:color w:val="auto"/>
                <w:sz w:val="24"/>
                <w:szCs w:val="24"/>
                <w:u w:val="none"/>
                <w:vertAlign w:val="baseline"/>
              </w:rPr>
            </w:pPr>
          </w:p>
        </w:tc>
        <w:tc>
          <w:tcPr>
            <w:tcW w:w="2745" w:type="dxa"/>
            <w:vAlign w:val="center"/>
          </w:tcPr>
          <w:p w14:paraId="622513BE">
            <w:pPr>
              <w:keepNext w:val="0"/>
              <w:keepLines w:val="0"/>
              <w:pageBreakBefore w:val="0"/>
              <w:widowControl w:val="0"/>
              <w:kinsoku/>
              <w:wordWrap/>
              <w:overflowPunct/>
              <w:topLinePunct w:val="0"/>
              <w:autoSpaceDE/>
              <w:autoSpaceDN/>
              <w:bidi w:val="0"/>
              <w:adjustRightInd/>
              <w:snapToGrid/>
              <w:spacing w:beforeAutospacing="0" w:afterAutospacing="0" w:line="360" w:lineRule="exact"/>
              <w:ind w:left="0" w:leftChars="0" w:firstLine="0" w:firstLineChars="0"/>
              <w:textAlignment w:val="auto"/>
              <w:rPr>
                <w:rFonts w:hint="eastAsia" w:ascii="仿宋_GB2312" w:hAnsi="仿宋_GB2312" w:eastAsia="仿宋_GB2312" w:cs="仿宋_GB2312"/>
                <w:color w:val="auto"/>
                <w:sz w:val="24"/>
                <w:szCs w:val="24"/>
                <w:u w:val="none"/>
                <w:vertAlign w:val="baseline"/>
                <w:lang w:eastAsia="zh-CN"/>
              </w:rPr>
            </w:pPr>
            <w:r>
              <w:rPr>
                <w:rFonts w:hint="eastAsia" w:ascii="仿宋_GB2312" w:hAnsi="仿宋_GB2312" w:eastAsia="仿宋_GB2312" w:cs="仿宋_GB2312"/>
                <w:color w:val="auto"/>
                <w:sz w:val="24"/>
                <w:szCs w:val="24"/>
                <w:u w:val="none"/>
                <w:vertAlign w:val="baseline"/>
                <w:lang w:eastAsia="zh-CN"/>
              </w:rPr>
              <w:t>铝</w:t>
            </w:r>
          </w:p>
        </w:tc>
        <w:tc>
          <w:tcPr>
            <w:tcW w:w="4463" w:type="dxa"/>
            <w:vAlign w:val="center"/>
          </w:tcPr>
          <w:p w14:paraId="240A9F94">
            <w:pPr>
              <w:keepNext w:val="0"/>
              <w:keepLines w:val="0"/>
              <w:pageBreakBefore w:val="0"/>
              <w:widowControl w:val="0"/>
              <w:kinsoku/>
              <w:wordWrap/>
              <w:overflowPunct/>
              <w:topLinePunct w:val="0"/>
              <w:autoSpaceDE/>
              <w:autoSpaceDN/>
              <w:bidi w:val="0"/>
              <w:adjustRightInd/>
              <w:snapToGrid/>
              <w:spacing w:beforeAutospacing="0" w:afterAutospacing="0" w:line="360" w:lineRule="exact"/>
              <w:ind w:left="0" w:leftChars="0" w:firstLine="0" w:firstLineChars="0"/>
              <w:textAlignment w:val="auto"/>
              <w:rPr>
                <w:rFonts w:hint="eastAsia" w:ascii="仿宋_GB2312" w:hAnsi="仿宋_GB2312" w:eastAsia="仿宋_GB2312" w:cs="仿宋_GB2312"/>
                <w:color w:val="auto"/>
                <w:sz w:val="24"/>
                <w:szCs w:val="24"/>
                <w:u w:val="none"/>
                <w:vertAlign w:val="baseline"/>
              </w:rPr>
            </w:pPr>
            <w:r>
              <w:rPr>
                <w:rFonts w:hint="eastAsia" w:ascii="仿宋_GB2312" w:hAnsi="仿宋_GB2312" w:eastAsia="仿宋_GB2312" w:cs="仿宋_GB2312"/>
                <w:color w:val="auto"/>
                <w:sz w:val="24"/>
                <w:szCs w:val="24"/>
                <w:u w:val="none"/>
                <w:vertAlign w:val="baseline"/>
              </w:rPr>
              <w:t>吊顶、广告牌等</w:t>
            </w:r>
          </w:p>
        </w:tc>
      </w:tr>
      <w:tr w14:paraId="546830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08" w:type="dxa"/>
            <w:vMerge w:val="continue"/>
            <w:vAlign w:val="center"/>
          </w:tcPr>
          <w:p w14:paraId="4CE58E76">
            <w:pPr>
              <w:keepNext w:val="0"/>
              <w:keepLines w:val="0"/>
              <w:pageBreakBefore w:val="0"/>
              <w:widowControl w:val="0"/>
              <w:kinsoku/>
              <w:wordWrap/>
              <w:overflowPunct/>
              <w:topLinePunct w:val="0"/>
              <w:autoSpaceDE/>
              <w:autoSpaceDN/>
              <w:bidi w:val="0"/>
              <w:adjustRightInd/>
              <w:snapToGrid/>
              <w:spacing w:beforeAutospacing="0" w:afterAutospacing="0" w:line="360" w:lineRule="exact"/>
              <w:ind w:left="0" w:leftChars="0" w:firstLine="0" w:firstLineChars="0"/>
              <w:textAlignment w:val="auto"/>
              <w:rPr>
                <w:rFonts w:hint="eastAsia" w:ascii="仿宋_GB2312" w:hAnsi="仿宋_GB2312" w:eastAsia="仿宋_GB2312" w:cs="仿宋_GB2312"/>
                <w:color w:val="auto"/>
                <w:sz w:val="24"/>
                <w:szCs w:val="24"/>
                <w:u w:val="none"/>
                <w:vertAlign w:val="baseline"/>
              </w:rPr>
            </w:pPr>
          </w:p>
        </w:tc>
        <w:tc>
          <w:tcPr>
            <w:tcW w:w="2745" w:type="dxa"/>
            <w:vAlign w:val="center"/>
          </w:tcPr>
          <w:p w14:paraId="4CC79DC5">
            <w:pPr>
              <w:keepNext w:val="0"/>
              <w:keepLines w:val="0"/>
              <w:pageBreakBefore w:val="0"/>
              <w:widowControl w:val="0"/>
              <w:kinsoku/>
              <w:wordWrap/>
              <w:overflowPunct/>
              <w:topLinePunct w:val="0"/>
              <w:autoSpaceDE/>
              <w:autoSpaceDN/>
              <w:bidi w:val="0"/>
              <w:adjustRightInd/>
              <w:snapToGrid/>
              <w:spacing w:beforeAutospacing="0" w:afterAutospacing="0" w:line="360" w:lineRule="exact"/>
              <w:ind w:left="0" w:leftChars="0" w:firstLine="0" w:firstLineChars="0"/>
              <w:textAlignment w:val="auto"/>
              <w:rPr>
                <w:rFonts w:hint="eastAsia" w:ascii="仿宋_GB2312" w:hAnsi="仿宋_GB2312" w:eastAsia="仿宋_GB2312" w:cs="仿宋_GB2312"/>
                <w:color w:val="auto"/>
                <w:sz w:val="24"/>
                <w:szCs w:val="24"/>
                <w:u w:val="none"/>
                <w:vertAlign w:val="baseline"/>
                <w:lang w:val="en-US" w:eastAsia="zh-CN"/>
              </w:rPr>
            </w:pPr>
            <w:r>
              <w:rPr>
                <w:rFonts w:hint="eastAsia" w:ascii="仿宋_GB2312" w:hAnsi="仿宋_GB2312" w:eastAsia="仿宋_GB2312" w:cs="仿宋_GB2312"/>
                <w:color w:val="auto"/>
                <w:sz w:val="24"/>
                <w:szCs w:val="24"/>
                <w:u w:val="none"/>
                <w:vertAlign w:val="baseline"/>
              </w:rPr>
              <w:t>铜</w:t>
            </w:r>
          </w:p>
        </w:tc>
        <w:tc>
          <w:tcPr>
            <w:tcW w:w="4463" w:type="dxa"/>
            <w:vAlign w:val="center"/>
          </w:tcPr>
          <w:p w14:paraId="3D5A260C">
            <w:pPr>
              <w:keepNext w:val="0"/>
              <w:keepLines w:val="0"/>
              <w:pageBreakBefore w:val="0"/>
              <w:widowControl w:val="0"/>
              <w:kinsoku/>
              <w:wordWrap/>
              <w:overflowPunct/>
              <w:topLinePunct w:val="0"/>
              <w:autoSpaceDE/>
              <w:autoSpaceDN/>
              <w:bidi w:val="0"/>
              <w:adjustRightInd/>
              <w:snapToGrid/>
              <w:spacing w:beforeAutospacing="0" w:afterAutospacing="0" w:line="360" w:lineRule="exact"/>
              <w:ind w:left="0" w:leftChars="0" w:firstLine="0" w:firstLineChars="0"/>
              <w:textAlignment w:val="auto"/>
              <w:rPr>
                <w:rFonts w:hint="eastAsia" w:ascii="仿宋_GB2312" w:hAnsi="仿宋_GB2312" w:eastAsia="仿宋_GB2312" w:cs="仿宋_GB2312"/>
                <w:color w:val="auto"/>
                <w:sz w:val="24"/>
                <w:szCs w:val="24"/>
                <w:u w:val="none"/>
                <w:vertAlign w:val="baseline"/>
                <w:lang w:val="en-US" w:eastAsia="zh-CN"/>
              </w:rPr>
            </w:pPr>
            <w:r>
              <w:rPr>
                <w:rFonts w:hint="eastAsia" w:ascii="仿宋_GB2312" w:hAnsi="仿宋_GB2312" w:eastAsia="仿宋_GB2312" w:cs="仿宋_GB2312"/>
                <w:color w:val="auto"/>
                <w:sz w:val="24"/>
                <w:szCs w:val="24"/>
                <w:u w:val="none"/>
                <w:vertAlign w:val="baseline"/>
              </w:rPr>
              <w:t>装饰部件、电线等</w:t>
            </w:r>
          </w:p>
        </w:tc>
      </w:tr>
      <w:tr w14:paraId="51C53A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08" w:type="dxa"/>
            <w:vMerge w:val="continue"/>
            <w:vAlign w:val="center"/>
          </w:tcPr>
          <w:p w14:paraId="07C21D18">
            <w:pPr>
              <w:keepNext w:val="0"/>
              <w:keepLines w:val="0"/>
              <w:pageBreakBefore w:val="0"/>
              <w:widowControl w:val="0"/>
              <w:kinsoku/>
              <w:wordWrap/>
              <w:overflowPunct/>
              <w:topLinePunct w:val="0"/>
              <w:autoSpaceDE/>
              <w:autoSpaceDN/>
              <w:bidi w:val="0"/>
              <w:adjustRightInd/>
              <w:snapToGrid/>
              <w:spacing w:beforeAutospacing="0" w:afterAutospacing="0" w:line="360" w:lineRule="exact"/>
              <w:ind w:left="0" w:leftChars="0" w:firstLine="0" w:firstLineChars="0"/>
              <w:textAlignment w:val="auto"/>
              <w:rPr>
                <w:rFonts w:hint="eastAsia" w:ascii="仿宋_GB2312" w:hAnsi="仿宋_GB2312" w:eastAsia="仿宋_GB2312" w:cs="仿宋_GB2312"/>
                <w:color w:val="auto"/>
                <w:sz w:val="24"/>
                <w:szCs w:val="24"/>
                <w:u w:val="none"/>
                <w:vertAlign w:val="baseline"/>
              </w:rPr>
            </w:pPr>
          </w:p>
        </w:tc>
        <w:tc>
          <w:tcPr>
            <w:tcW w:w="2745" w:type="dxa"/>
            <w:vAlign w:val="center"/>
          </w:tcPr>
          <w:p w14:paraId="692D29DF">
            <w:pPr>
              <w:keepNext w:val="0"/>
              <w:keepLines w:val="0"/>
              <w:pageBreakBefore w:val="0"/>
              <w:widowControl w:val="0"/>
              <w:kinsoku/>
              <w:wordWrap/>
              <w:overflowPunct/>
              <w:topLinePunct w:val="0"/>
              <w:autoSpaceDE/>
              <w:autoSpaceDN/>
              <w:bidi w:val="0"/>
              <w:adjustRightInd/>
              <w:snapToGrid/>
              <w:spacing w:beforeAutospacing="0" w:afterAutospacing="0" w:line="360" w:lineRule="exact"/>
              <w:ind w:left="0" w:leftChars="0" w:firstLine="0" w:firstLineChars="0"/>
              <w:textAlignment w:val="auto"/>
              <w:rPr>
                <w:rFonts w:hint="eastAsia" w:ascii="仿宋_GB2312" w:hAnsi="仿宋_GB2312" w:eastAsia="仿宋_GB2312" w:cs="仿宋_GB2312"/>
                <w:color w:val="auto"/>
                <w:sz w:val="24"/>
                <w:szCs w:val="24"/>
                <w:u w:val="none"/>
                <w:vertAlign w:val="baseline"/>
              </w:rPr>
            </w:pPr>
            <w:r>
              <w:rPr>
                <w:rFonts w:hint="eastAsia" w:ascii="仿宋_GB2312" w:hAnsi="仿宋_GB2312" w:eastAsia="仿宋_GB2312" w:cs="仿宋_GB2312"/>
                <w:color w:val="auto"/>
                <w:sz w:val="24"/>
                <w:szCs w:val="24"/>
                <w:u w:val="none"/>
                <w:vertAlign w:val="baseline"/>
              </w:rPr>
              <w:t>其他合金</w:t>
            </w:r>
          </w:p>
        </w:tc>
        <w:tc>
          <w:tcPr>
            <w:tcW w:w="4463" w:type="dxa"/>
            <w:vAlign w:val="center"/>
          </w:tcPr>
          <w:p w14:paraId="4FD5FD01">
            <w:pPr>
              <w:keepNext w:val="0"/>
              <w:keepLines w:val="0"/>
              <w:pageBreakBefore w:val="0"/>
              <w:widowControl w:val="0"/>
              <w:kinsoku/>
              <w:wordWrap/>
              <w:overflowPunct/>
              <w:topLinePunct w:val="0"/>
              <w:autoSpaceDE/>
              <w:autoSpaceDN/>
              <w:bidi w:val="0"/>
              <w:adjustRightInd/>
              <w:snapToGrid/>
              <w:spacing w:beforeAutospacing="0" w:afterAutospacing="0" w:line="360" w:lineRule="exact"/>
              <w:ind w:left="0" w:leftChars="0" w:firstLine="0" w:firstLineChars="0"/>
              <w:textAlignment w:val="auto"/>
              <w:rPr>
                <w:rFonts w:hint="eastAsia" w:ascii="仿宋_GB2312" w:hAnsi="仿宋_GB2312" w:eastAsia="仿宋_GB2312" w:cs="仿宋_GB2312"/>
                <w:color w:val="auto"/>
                <w:sz w:val="24"/>
                <w:szCs w:val="24"/>
                <w:u w:val="none"/>
                <w:vertAlign w:val="baseline"/>
              </w:rPr>
            </w:pPr>
            <w:r>
              <w:rPr>
                <w:rFonts w:hint="eastAsia" w:ascii="仿宋_GB2312" w:hAnsi="仿宋_GB2312" w:eastAsia="仿宋_GB2312" w:cs="仿宋_GB2312"/>
                <w:color w:val="auto"/>
                <w:sz w:val="24"/>
                <w:szCs w:val="24"/>
                <w:u w:val="none"/>
                <w:vertAlign w:val="baseline"/>
              </w:rPr>
              <w:t>装饰部件等</w:t>
            </w:r>
          </w:p>
        </w:tc>
      </w:tr>
      <w:tr w14:paraId="60FEB5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08" w:type="dxa"/>
            <w:vMerge w:val="restart"/>
            <w:vAlign w:val="center"/>
          </w:tcPr>
          <w:p w14:paraId="323BEAB1">
            <w:pPr>
              <w:keepNext w:val="0"/>
              <w:keepLines w:val="0"/>
              <w:pageBreakBefore w:val="0"/>
              <w:widowControl w:val="0"/>
              <w:kinsoku/>
              <w:wordWrap/>
              <w:overflowPunct/>
              <w:topLinePunct w:val="0"/>
              <w:autoSpaceDE/>
              <w:autoSpaceDN/>
              <w:bidi w:val="0"/>
              <w:adjustRightInd/>
              <w:snapToGrid/>
              <w:spacing w:beforeAutospacing="0" w:afterAutospacing="0" w:line="360" w:lineRule="exact"/>
              <w:ind w:left="0" w:leftChars="0" w:firstLine="0" w:firstLineChars="0"/>
              <w:textAlignment w:val="auto"/>
              <w:rPr>
                <w:rFonts w:hint="eastAsia" w:ascii="仿宋_GB2312" w:hAnsi="仿宋_GB2312" w:eastAsia="仿宋_GB2312" w:cs="仿宋_GB2312"/>
                <w:color w:val="auto"/>
                <w:sz w:val="24"/>
                <w:szCs w:val="24"/>
                <w:u w:val="none"/>
                <w:vertAlign w:val="baseline"/>
                <w:lang w:eastAsia="zh-CN"/>
              </w:rPr>
            </w:pPr>
            <w:r>
              <w:rPr>
                <w:rFonts w:hint="eastAsia" w:ascii="仿宋_GB2312" w:hAnsi="仿宋_GB2312" w:eastAsia="仿宋_GB2312" w:cs="仿宋_GB2312"/>
                <w:color w:val="auto"/>
                <w:sz w:val="24"/>
                <w:szCs w:val="24"/>
                <w:u w:val="none"/>
                <w:vertAlign w:val="baseline"/>
                <w:lang w:eastAsia="zh-CN"/>
              </w:rPr>
              <w:t>有机类</w:t>
            </w:r>
          </w:p>
        </w:tc>
        <w:tc>
          <w:tcPr>
            <w:tcW w:w="2745" w:type="dxa"/>
            <w:vAlign w:val="center"/>
          </w:tcPr>
          <w:p w14:paraId="1D4F2062">
            <w:pPr>
              <w:keepNext w:val="0"/>
              <w:keepLines w:val="0"/>
              <w:pageBreakBefore w:val="0"/>
              <w:widowControl w:val="0"/>
              <w:kinsoku/>
              <w:wordWrap/>
              <w:overflowPunct/>
              <w:topLinePunct w:val="0"/>
              <w:autoSpaceDE/>
              <w:autoSpaceDN/>
              <w:bidi w:val="0"/>
              <w:adjustRightInd/>
              <w:snapToGrid/>
              <w:spacing w:beforeAutospacing="0" w:afterAutospacing="0" w:line="360" w:lineRule="exact"/>
              <w:ind w:left="0" w:leftChars="0" w:firstLine="0" w:firstLineChars="0"/>
              <w:textAlignment w:val="auto"/>
              <w:rPr>
                <w:rFonts w:hint="eastAsia" w:ascii="仿宋_GB2312" w:hAnsi="仿宋_GB2312" w:eastAsia="仿宋_GB2312" w:cs="仿宋_GB2312"/>
                <w:color w:val="auto"/>
                <w:sz w:val="24"/>
                <w:szCs w:val="24"/>
                <w:u w:val="none"/>
                <w:vertAlign w:val="baseline"/>
              </w:rPr>
            </w:pPr>
            <w:r>
              <w:rPr>
                <w:rFonts w:hint="eastAsia" w:ascii="仿宋_GB2312" w:hAnsi="仿宋_GB2312" w:eastAsia="仿宋_GB2312" w:cs="仿宋_GB2312"/>
                <w:color w:val="auto"/>
                <w:sz w:val="24"/>
                <w:szCs w:val="24"/>
                <w:u w:val="none"/>
                <w:vertAlign w:val="baseline"/>
              </w:rPr>
              <w:t>木材</w:t>
            </w:r>
          </w:p>
        </w:tc>
        <w:tc>
          <w:tcPr>
            <w:tcW w:w="4463" w:type="dxa"/>
            <w:vAlign w:val="center"/>
          </w:tcPr>
          <w:p w14:paraId="71DF18EA">
            <w:pPr>
              <w:keepNext w:val="0"/>
              <w:keepLines w:val="0"/>
              <w:pageBreakBefore w:val="0"/>
              <w:widowControl w:val="0"/>
              <w:kinsoku/>
              <w:wordWrap/>
              <w:overflowPunct/>
              <w:topLinePunct w:val="0"/>
              <w:autoSpaceDE/>
              <w:autoSpaceDN/>
              <w:bidi w:val="0"/>
              <w:adjustRightInd/>
              <w:snapToGrid/>
              <w:spacing w:beforeAutospacing="0" w:afterAutospacing="0" w:line="360" w:lineRule="exact"/>
              <w:ind w:left="0" w:leftChars="0" w:firstLine="0" w:firstLineChars="0"/>
              <w:textAlignment w:val="auto"/>
              <w:rPr>
                <w:rFonts w:hint="eastAsia" w:ascii="仿宋_GB2312" w:hAnsi="仿宋_GB2312" w:eastAsia="仿宋_GB2312" w:cs="仿宋_GB2312"/>
                <w:color w:val="auto"/>
                <w:sz w:val="24"/>
                <w:szCs w:val="24"/>
                <w:u w:val="none"/>
                <w:vertAlign w:val="baseline"/>
              </w:rPr>
            </w:pPr>
            <w:r>
              <w:rPr>
                <w:rFonts w:hint="eastAsia" w:ascii="仿宋_GB2312" w:hAnsi="仿宋_GB2312" w:eastAsia="仿宋_GB2312" w:cs="仿宋_GB2312"/>
                <w:color w:val="auto"/>
                <w:sz w:val="24"/>
                <w:szCs w:val="24"/>
                <w:u w:val="none"/>
                <w:vertAlign w:val="baseline"/>
              </w:rPr>
              <w:t>门窗、家具、梁柱、屋顶、广告牌等</w:t>
            </w:r>
          </w:p>
        </w:tc>
      </w:tr>
      <w:tr w14:paraId="2014F8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08" w:type="dxa"/>
            <w:vMerge w:val="continue"/>
            <w:vAlign w:val="center"/>
          </w:tcPr>
          <w:p w14:paraId="533AD6A0">
            <w:pPr>
              <w:keepNext w:val="0"/>
              <w:keepLines w:val="0"/>
              <w:pageBreakBefore w:val="0"/>
              <w:widowControl w:val="0"/>
              <w:kinsoku/>
              <w:wordWrap/>
              <w:overflowPunct/>
              <w:topLinePunct w:val="0"/>
              <w:autoSpaceDE/>
              <w:autoSpaceDN/>
              <w:bidi w:val="0"/>
              <w:adjustRightInd/>
              <w:snapToGrid/>
              <w:spacing w:beforeAutospacing="0" w:afterAutospacing="0" w:line="360" w:lineRule="exact"/>
              <w:ind w:left="0" w:leftChars="0" w:firstLine="0" w:firstLineChars="0"/>
              <w:textAlignment w:val="auto"/>
              <w:rPr>
                <w:rFonts w:hint="eastAsia" w:ascii="仿宋_GB2312" w:hAnsi="仿宋_GB2312" w:eastAsia="仿宋_GB2312" w:cs="仿宋_GB2312"/>
                <w:color w:val="auto"/>
                <w:sz w:val="24"/>
                <w:szCs w:val="24"/>
                <w:u w:val="none"/>
                <w:vertAlign w:val="baseline"/>
              </w:rPr>
            </w:pPr>
          </w:p>
        </w:tc>
        <w:tc>
          <w:tcPr>
            <w:tcW w:w="2745" w:type="dxa"/>
            <w:vAlign w:val="center"/>
          </w:tcPr>
          <w:p w14:paraId="6779D1B8">
            <w:pPr>
              <w:keepNext w:val="0"/>
              <w:keepLines w:val="0"/>
              <w:pageBreakBefore w:val="0"/>
              <w:widowControl w:val="0"/>
              <w:kinsoku/>
              <w:wordWrap/>
              <w:overflowPunct/>
              <w:topLinePunct w:val="0"/>
              <w:autoSpaceDE/>
              <w:autoSpaceDN/>
              <w:bidi w:val="0"/>
              <w:adjustRightInd/>
              <w:snapToGrid/>
              <w:spacing w:beforeAutospacing="0" w:afterAutospacing="0" w:line="360" w:lineRule="exact"/>
              <w:ind w:left="0" w:leftChars="0" w:firstLine="0" w:firstLineChars="0"/>
              <w:textAlignment w:val="auto"/>
              <w:rPr>
                <w:rFonts w:hint="eastAsia" w:ascii="仿宋_GB2312" w:hAnsi="仿宋_GB2312" w:eastAsia="仿宋_GB2312" w:cs="仿宋_GB2312"/>
                <w:color w:val="auto"/>
                <w:sz w:val="24"/>
                <w:szCs w:val="24"/>
                <w:u w:val="none"/>
                <w:vertAlign w:val="baseline"/>
              </w:rPr>
            </w:pPr>
            <w:r>
              <w:rPr>
                <w:rFonts w:hint="eastAsia" w:ascii="仿宋_GB2312" w:hAnsi="仿宋_GB2312" w:eastAsia="仿宋_GB2312" w:cs="仿宋_GB2312"/>
                <w:color w:val="auto"/>
                <w:sz w:val="24"/>
                <w:szCs w:val="24"/>
                <w:u w:val="none"/>
                <w:vertAlign w:val="baseline"/>
              </w:rPr>
              <w:t>塑料、织物</w:t>
            </w:r>
          </w:p>
        </w:tc>
        <w:tc>
          <w:tcPr>
            <w:tcW w:w="4463" w:type="dxa"/>
            <w:vAlign w:val="center"/>
          </w:tcPr>
          <w:p w14:paraId="5C091537">
            <w:pPr>
              <w:keepNext w:val="0"/>
              <w:keepLines w:val="0"/>
              <w:pageBreakBefore w:val="0"/>
              <w:widowControl w:val="0"/>
              <w:kinsoku/>
              <w:wordWrap/>
              <w:overflowPunct/>
              <w:topLinePunct w:val="0"/>
              <w:autoSpaceDE/>
              <w:autoSpaceDN/>
              <w:bidi w:val="0"/>
              <w:adjustRightInd/>
              <w:snapToGrid/>
              <w:spacing w:beforeAutospacing="0" w:afterAutospacing="0" w:line="360" w:lineRule="exact"/>
              <w:ind w:left="0" w:leftChars="0" w:firstLine="0" w:firstLineChars="0"/>
              <w:textAlignment w:val="auto"/>
              <w:rPr>
                <w:rFonts w:hint="eastAsia" w:ascii="仿宋_GB2312" w:hAnsi="仿宋_GB2312" w:eastAsia="仿宋_GB2312" w:cs="仿宋_GB2312"/>
                <w:color w:val="auto"/>
                <w:sz w:val="24"/>
                <w:szCs w:val="24"/>
                <w:u w:val="none"/>
                <w:vertAlign w:val="baseline"/>
              </w:rPr>
            </w:pPr>
            <w:r>
              <w:rPr>
                <w:rFonts w:hint="eastAsia" w:ascii="仿宋_GB2312" w:hAnsi="仿宋_GB2312" w:eastAsia="仿宋_GB2312" w:cs="仿宋_GB2312"/>
                <w:color w:val="auto"/>
                <w:sz w:val="24"/>
                <w:szCs w:val="24"/>
                <w:u w:val="none"/>
                <w:vertAlign w:val="baseline"/>
              </w:rPr>
              <w:t>门窗、管道、防水层、家具、吊顶</w:t>
            </w:r>
            <w:r>
              <w:rPr>
                <w:rFonts w:hint="eastAsia" w:ascii="仿宋_GB2312" w:hAnsi="仿宋_GB2312" w:eastAsia="仿宋_GB2312" w:cs="仿宋_GB2312"/>
                <w:color w:val="auto"/>
                <w:sz w:val="24"/>
                <w:szCs w:val="24"/>
                <w:u w:val="none"/>
                <w:vertAlign w:val="baseline"/>
                <w:lang w:eastAsia="zh-CN"/>
              </w:rPr>
              <w:t>、</w:t>
            </w:r>
            <w:r>
              <w:rPr>
                <w:rFonts w:hint="eastAsia" w:ascii="仿宋_GB2312" w:hAnsi="仿宋_GB2312" w:eastAsia="仿宋_GB2312" w:cs="仿宋_GB2312"/>
                <w:color w:val="auto"/>
                <w:sz w:val="24"/>
                <w:szCs w:val="24"/>
                <w:u w:val="none"/>
                <w:vertAlign w:val="baseline"/>
              </w:rPr>
              <w:t>墙纸、包装等</w:t>
            </w:r>
          </w:p>
        </w:tc>
      </w:tr>
      <w:tr w14:paraId="0F2D6B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08" w:type="dxa"/>
            <w:vMerge w:val="continue"/>
            <w:vAlign w:val="center"/>
          </w:tcPr>
          <w:p w14:paraId="1B38266F">
            <w:pPr>
              <w:keepNext w:val="0"/>
              <w:keepLines w:val="0"/>
              <w:pageBreakBefore w:val="0"/>
              <w:widowControl w:val="0"/>
              <w:kinsoku/>
              <w:wordWrap/>
              <w:overflowPunct/>
              <w:topLinePunct w:val="0"/>
              <w:autoSpaceDE/>
              <w:autoSpaceDN/>
              <w:bidi w:val="0"/>
              <w:adjustRightInd/>
              <w:snapToGrid/>
              <w:spacing w:beforeAutospacing="0" w:afterAutospacing="0" w:line="360" w:lineRule="exact"/>
              <w:ind w:left="0" w:leftChars="0" w:firstLine="0" w:firstLineChars="0"/>
              <w:textAlignment w:val="auto"/>
              <w:rPr>
                <w:rFonts w:hint="eastAsia" w:ascii="仿宋_GB2312" w:hAnsi="仿宋_GB2312" w:eastAsia="仿宋_GB2312" w:cs="仿宋_GB2312"/>
                <w:color w:val="auto"/>
                <w:sz w:val="24"/>
                <w:szCs w:val="24"/>
                <w:u w:val="none"/>
                <w:vertAlign w:val="baseline"/>
              </w:rPr>
            </w:pPr>
          </w:p>
        </w:tc>
        <w:tc>
          <w:tcPr>
            <w:tcW w:w="2745" w:type="dxa"/>
            <w:vAlign w:val="center"/>
          </w:tcPr>
          <w:p w14:paraId="1AD69FA6">
            <w:pPr>
              <w:keepNext w:val="0"/>
              <w:keepLines w:val="0"/>
              <w:pageBreakBefore w:val="0"/>
              <w:widowControl w:val="0"/>
              <w:kinsoku/>
              <w:wordWrap/>
              <w:overflowPunct/>
              <w:topLinePunct w:val="0"/>
              <w:autoSpaceDE/>
              <w:autoSpaceDN/>
              <w:bidi w:val="0"/>
              <w:adjustRightInd/>
              <w:snapToGrid/>
              <w:spacing w:beforeAutospacing="0" w:afterAutospacing="0" w:line="360" w:lineRule="exact"/>
              <w:ind w:left="0" w:leftChars="0" w:firstLine="0" w:firstLineChars="0"/>
              <w:textAlignment w:val="auto"/>
              <w:rPr>
                <w:rFonts w:hint="eastAsia" w:ascii="仿宋_GB2312" w:hAnsi="仿宋_GB2312" w:eastAsia="仿宋_GB2312" w:cs="仿宋_GB2312"/>
                <w:color w:val="auto"/>
                <w:sz w:val="24"/>
                <w:szCs w:val="24"/>
                <w:u w:val="none"/>
                <w:vertAlign w:val="baseline"/>
              </w:rPr>
            </w:pPr>
            <w:r>
              <w:rPr>
                <w:rFonts w:hint="eastAsia" w:ascii="仿宋_GB2312" w:hAnsi="仿宋_GB2312" w:eastAsia="仿宋_GB2312" w:cs="仿宋_GB2312"/>
                <w:color w:val="auto"/>
                <w:sz w:val="24"/>
                <w:szCs w:val="24"/>
                <w:u w:val="none"/>
                <w:vertAlign w:val="baseline"/>
              </w:rPr>
              <w:t>纸类</w:t>
            </w:r>
          </w:p>
        </w:tc>
        <w:tc>
          <w:tcPr>
            <w:tcW w:w="4463" w:type="dxa"/>
            <w:vAlign w:val="center"/>
          </w:tcPr>
          <w:p w14:paraId="09DD157E">
            <w:pPr>
              <w:keepNext w:val="0"/>
              <w:keepLines w:val="0"/>
              <w:pageBreakBefore w:val="0"/>
              <w:widowControl w:val="0"/>
              <w:kinsoku/>
              <w:wordWrap/>
              <w:overflowPunct/>
              <w:topLinePunct w:val="0"/>
              <w:autoSpaceDE/>
              <w:autoSpaceDN/>
              <w:bidi w:val="0"/>
              <w:adjustRightInd/>
              <w:snapToGrid/>
              <w:spacing w:beforeAutospacing="0" w:afterAutospacing="0" w:line="360" w:lineRule="exact"/>
              <w:ind w:left="0" w:leftChars="0" w:firstLine="0" w:firstLineChars="0"/>
              <w:textAlignment w:val="auto"/>
              <w:rPr>
                <w:rFonts w:hint="eastAsia" w:ascii="仿宋_GB2312" w:hAnsi="仿宋_GB2312" w:eastAsia="仿宋_GB2312" w:cs="仿宋_GB2312"/>
                <w:color w:val="auto"/>
                <w:sz w:val="24"/>
                <w:szCs w:val="24"/>
                <w:u w:val="none"/>
                <w:vertAlign w:val="baseline"/>
              </w:rPr>
            </w:pPr>
            <w:r>
              <w:rPr>
                <w:rFonts w:hint="eastAsia" w:ascii="仿宋_GB2312" w:hAnsi="仿宋_GB2312" w:eastAsia="仿宋_GB2312" w:cs="仿宋_GB2312"/>
                <w:color w:val="auto"/>
                <w:sz w:val="24"/>
                <w:szCs w:val="24"/>
                <w:u w:val="none"/>
                <w:vertAlign w:val="baseline"/>
              </w:rPr>
              <w:t>墙纸、书籍、广告画、包装等</w:t>
            </w:r>
          </w:p>
        </w:tc>
      </w:tr>
      <w:tr w14:paraId="5856D0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08" w:type="dxa"/>
            <w:vMerge w:val="continue"/>
            <w:vAlign w:val="center"/>
          </w:tcPr>
          <w:p w14:paraId="0815D13E">
            <w:pPr>
              <w:keepNext w:val="0"/>
              <w:keepLines w:val="0"/>
              <w:pageBreakBefore w:val="0"/>
              <w:widowControl w:val="0"/>
              <w:kinsoku/>
              <w:wordWrap/>
              <w:overflowPunct/>
              <w:topLinePunct w:val="0"/>
              <w:autoSpaceDE/>
              <w:autoSpaceDN/>
              <w:bidi w:val="0"/>
              <w:adjustRightInd/>
              <w:snapToGrid/>
              <w:spacing w:beforeAutospacing="0" w:afterAutospacing="0" w:line="360" w:lineRule="exact"/>
              <w:ind w:left="0" w:leftChars="0" w:firstLine="0" w:firstLineChars="0"/>
              <w:textAlignment w:val="auto"/>
              <w:rPr>
                <w:rFonts w:hint="eastAsia" w:ascii="仿宋_GB2312" w:hAnsi="仿宋_GB2312" w:eastAsia="仿宋_GB2312" w:cs="仿宋_GB2312"/>
                <w:color w:val="auto"/>
                <w:sz w:val="24"/>
                <w:szCs w:val="24"/>
                <w:u w:val="none"/>
                <w:vertAlign w:val="baseline"/>
              </w:rPr>
            </w:pPr>
          </w:p>
        </w:tc>
        <w:tc>
          <w:tcPr>
            <w:tcW w:w="2745" w:type="dxa"/>
            <w:vAlign w:val="center"/>
          </w:tcPr>
          <w:p w14:paraId="3D878932">
            <w:pPr>
              <w:keepNext w:val="0"/>
              <w:keepLines w:val="0"/>
              <w:pageBreakBefore w:val="0"/>
              <w:widowControl w:val="0"/>
              <w:kinsoku/>
              <w:wordWrap/>
              <w:overflowPunct/>
              <w:topLinePunct w:val="0"/>
              <w:autoSpaceDE/>
              <w:autoSpaceDN/>
              <w:bidi w:val="0"/>
              <w:adjustRightInd/>
              <w:snapToGrid/>
              <w:spacing w:beforeAutospacing="0" w:afterAutospacing="0" w:line="360" w:lineRule="exact"/>
              <w:ind w:left="0" w:leftChars="0" w:firstLine="0" w:firstLineChars="0"/>
              <w:textAlignment w:val="auto"/>
              <w:rPr>
                <w:rFonts w:hint="eastAsia" w:ascii="仿宋_GB2312" w:hAnsi="仿宋_GB2312" w:eastAsia="仿宋_GB2312" w:cs="仿宋_GB2312"/>
                <w:color w:val="auto"/>
                <w:sz w:val="24"/>
                <w:szCs w:val="24"/>
                <w:u w:val="none"/>
                <w:vertAlign w:val="baseline"/>
              </w:rPr>
            </w:pPr>
            <w:r>
              <w:rPr>
                <w:rFonts w:hint="eastAsia" w:ascii="仿宋_GB2312" w:hAnsi="仿宋_GB2312" w:eastAsia="仿宋_GB2312" w:cs="仿宋_GB2312"/>
                <w:color w:val="auto"/>
                <w:sz w:val="24"/>
                <w:szCs w:val="24"/>
                <w:u w:val="none"/>
                <w:vertAlign w:val="baseline"/>
              </w:rPr>
              <w:t>沥青类</w:t>
            </w:r>
          </w:p>
        </w:tc>
        <w:tc>
          <w:tcPr>
            <w:tcW w:w="4463" w:type="dxa"/>
            <w:vAlign w:val="center"/>
          </w:tcPr>
          <w:p w14:paraId="0D05CFDC">
            <w:pPr>
              <w:keepNext w:val="0"/>
              <w:keepLines w:val="0"/>
              <w:pageBreakBefore w:val="0"/>
              <w:widowControl w:val="0"/>
              <w:kinsoku/>
              <w:wordWrap/>
              <w:overflowPunct/>
              <w:topLinePunct w:val="0"/>
              <w:autoSpaceDE/>
              <w:autoSpaceDN/>
              <w:bidi w:val="0"/>
              <w:adjustRightInd/>
              <w:snapToGrid/>
              <w:spacing w:beforeAutospacing="0" w:afterAutospacing="0" w:line="360" w:lineRule="exact"/>
              <w:ind w:left="0" w:leftChars="0" w:firstLine="0" w:firstLineChars="0"/>
              <w:textAlignment w:val="auto"/>
              <w:rPr>
                <w:rFonts w:hint="eastAsia" w:ascii="仿宋_GB2312" w:hAnsi="仿宋_GB2312" w:eastAsia="仿宋_GB2312" w:cs="仿宋_GB2312"/>
                <w:color w:val="auto"/>
                <w:sz w:val="24"/>
                <w:szCs w:val="24"/>
                <w:u w:val="none"/>
                <w:vertAlign w:val="baseline"/>
              </w:rPr>
            </w:pPr>
            <w:r>
              <w:rPr>
                <w:rFonts w:hint="eastAsia" w:ascii="仿宋_GB2312" w:hAnsi="仿宋_GB2312" w:eastAsia="仿宋_GB2312" w:cs="仿宋_GB2312"/>
                <w:color w:val="auto"/>
                <w:sz w:val="24"/>
                <w:szCs w:val="24"/>
                <w:u w:val="none"/>
                <w:vertAlign w:val="baseline"/>
              </w:rPr>
              <w:t>沥青路面、沥青屋顶</w:t>
            </w:r>
          </w:p>
        </w:tc>
      </w:tr>
      <w:tr w14:paraId="7D804D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08" w:type="dxa"/>
            <w:vAlign w:val="center"/>
          </w:tcPr>
          <w:p w14:paraId="4802E7A5">
            <w:pPr>
              <w:keepNext w:val="0"/>
              <w:keepLines w:val="0"/>
              <w:pageBreakBefore w:val="0"/>
              <w:widowControl w:val="0"/>
              <w:kinsoku/>
              <w:wordWrap/>
              <w:overflowPunct/>
              <w:topLinePunct w:val="0"/>
              <w:autoSpaceDE/>
              <w:autoSpaceDN/>
              <w:bidi w:val="0"/>
              <w:adjustRightInd/>
              <w:snapToGrid/>
              <w:spacing w:beforeAutospacing="0" w:afterAutospacing="0" w:line="360" w:lineRule="exact"/>
              <w:ind w:left="0" w:leftChars="0" w:firstLine="0" w:firstLineChars="0"/>
              <w:textAlignment w:val="auto"/>
              <w:rPr>
                <w:rFonts w:hint="eastAsia" w:ascii="仿宋_GB2312" w:hAnsi="仿宋_GB2312" w:eastAsia="仿宋_GB2312" w:cs="仿宋_GB2312"/>
                <w:color w:val="auto"/>
                <w:sz w:val="24"/>
                <w:szCs w:val="24"/>
                <w:u w:val="none"/>
                <w:vertAlign w:val="baseline"/>
              </w:rPr>
            </w:pPr>
            <w:r>
              <w:rPr>
                <w:rFonts w:hint="eastAsia" w:ascii="仿宋_GB2312" w:hAnsi="仿宋_GB2312" w:eastAsia="仿宋_GB2312" w:cs="仿宋_GB2312"/>
                <w:color w:val="auto"/>
                <w:sz w:val="24"/>
                <w:szCs w:val="24"/>
                <w:u w:val="none"/>
                <w:vertAlign w:val="baseline"/>
              </w:rPr>
              <w:t>其他类</w:t>
            </w:r>
          </w:p>
        </w:tc>
        <w:tc>
          <w:tcPr>
            <w:tcW w:w="2745" w:type="dxa"/>
            <w:vAlign w:val="center"/>
          </w:tcPr>
          <w:p w14:paraId="5EC08F03">
            <w:pPr>
              <w:keepNext w:val="0"/>
              <w:keepLines w:val="0"/>
              <w:pageBreakBefore w:val="0"/>
              <w:widowControl w:val="0"/>
              <w:kinsoku/>
              <w:wordWrap/>
              <w:overflowPunct/>
              <w:topLinePunct w:val="0"/>
              <w:autoSpaceDE/>
              <w:autoSpaceDN/>
              <w:bidi w:val="0"/>
              <w:adjustRightInd/>
              <w:snapToGrid/>
              <w:spacing w:beforeAutospacing="0" w:afterAutospacing="0" w:line="360" w:lineRule="exact"/>
              <w:ind w:left="0" w:leftChars="0" w:firstLine="0" w:firstLineChars="0"/>
              <w:textAlignment w:val="auto"/>
              <w:rPr>
                <w:rFonts w:hint="eastAsia" w:ascii="仿宋_GB2312" w:hAnsi="仿宋_GB2312" w:eastAsia="仿宋_GB2312" w:cs="仿宋_GB2312"/>
                <w:color w:val="auto"/>
                <w:sz w:val="24"/>
                <w:szCs w:val="24"/>
                <w:u w:val="none"/>
                <w:vertAlign w:val="baseline"/>
              </w:rPr>
            </w:pPr>
            <w:r>
              <w:rPr>
                <w:rFonts w:hint="eastAsia" w:ascii="仿宋_GB2312" w:hAnsi="仿宋_GB2312" w:eastAsia="仿宋_GB2312" w:cs="仿宋_GB2312"/>
                <w:color w:val="auto"/>
                <w:sz w:val="24"/>
                <w:szCs w:val="24"/>
                <w:u w:val="none"/>
                <w:vertAlign w:val="baseline"/>
              </w:rPr>
              <w:t>混合</w:t>
            </w:r>
          </w:p>
        </w:tc>
        <w:tc>
          <w:tcPr>
            <w:tcW w:w="4463" w:type="dxa"/>
            <w:vAlign w:val="center"/>
          </w:tcPr>
          <w:p w14:paraId="361C88E7">
            <w:pPr>
              <w:keepNext w:val="0"/>
              <w:keepLines w:val="0"/>
              <w:pageBreakBefore w:val="0"/>
              <w:widowControl w:val="0"/>
              <w:kinsoku/>
              <w:wordWrap/>
              <w:overflowPunct/>
              <w:topLinePunct w:val="0"/>
              <w:autoSpaceDE/>
              <w:autoSpaceDN/>
              <w:bidi w:val="0"/>
              <w:adjustRightInd/>
              <w:snapToGrid/>
              <w:spacing w:beforeAutospacing="0" w:afterAutospacing="0" w:line="360" w:lineRule="exact"/>
              <w:ind w:left="0" w:leftChars="0" w:firstLine="0" w:firstLineChars="0"/>
              <w:textAlignment w:val="auto"/>
              <w:rPr>
                <w:rFonts w:hint="eastAsia" w:ascii="仿宋_GB2312" w:hAnsi="仿宋_GB2312" w:eastAsia="仿宋_GB2312" w:cs="仿宋_GB2312"/>
                <w:color w:val="auto"/>
                <w:sz w:val="24"/>
                <w:szCs w:val="24"/>
                <w:u w:val="none"/>
                <w:vertAlign w:val="baseline"/>
              </w:rPr>
            </w:pPr>
            <w:r>
              <w:rPr>
                <w:rFonts w:hint="eastAsia" w:ascii="仿宋_GB2312" w:hAnsi="仿宋_GB2312" w:eastAsia="仿宋_GB2312" w:cs="仿宋_GB2312"/>
                <w:color w:val="auto"/>
                <w:sz w:val="24"/>
                <w:szCs w:val="24"/>
                <w:u w:val="none"/>
                <w:vertAlign w:val="baseline"/>
              </w:rPr>
              <w:t>以上类别以外的拆除垃圾，无法在现场进行分类的无机非金属、金属、有机类垃圾的混合物</w:t>
            </w:r>
          </w:p>
        </w:tc>
      </w:tr>
      <w:tr w14:paraId="0CB732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16" w:type="dxa"/>
            <w:gridSpan w:val="3"/>
            <w:vAlign w:val="center"/>
          </w:tcPr>
          <w:p w14:paraId="48E018D1">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u w:val="none"/>
                <w:vertAlign w:val="baseline"/>
                <w:lang w:eastAsia="zh-CN"/>
              </w:rPr>
            </w:pPr>
            <w:r>
              <w:rPr>
                <w:rFonts w:hint="eastAsia" w:ascii="仿宋_GB2312" w:hAnsi="仿宋_GB2312" w:eastAsia="仿宋_GB2312" w:cs="仿宋_GB2312"/>
                <w:color w:val="auto"/>
                <w:sz w:val="24"/>
                <w:szCs w:val="24"/>
                <w:u w:val="none"/>
                <w:vertAlign w:val="baseline"/>
              </w:rPr>
              <w:t>注:*不包括石膏砌块和加气混凝土砌块</w:t>
            </w:r>
            <w:r>
              <w:rPr>
                <w:rFonts w:hint="eastAsia" w:ascii="仿宋_GB2312" w:hAnsi="仿宋_GB2312" w:eastAsia="仿宋_GB2312" w:cs="仿宋_GB2312"/>
                <w:color w:val="auto"/>
                <w:sz w:val="24"/>
                <w:szCs w:val="24"/>
                <w:u w:val="none"/>
                <w:vertAlign w:val="baseline"/>
                <w:lang w:eastAsia="zh-CN"/>
              </w:rPr>
              <w:t>。</w:t>
            </w:r>
          </w:p>
        </w:tc>
      </w:tr>
    </w:tbl>
    <w:p w14:paraId="1C2374CE">
      <w:pPr>
        <w:pageBreakBefore w:val="0"/>
        <w:kinsoku/>
        <w:wordWrap/>
        <w:topLinePunct w:val="0"/>
        <w:bidi w:val="0"/>
        <w:spacing w:beforeAutospacing="0" w:afterAutospacing="0" w:line="560" w:lineRule="exact"/>
        <w:ind w:left="0" w:leftChars="0"/>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sz w:val="32"/>
          <w:szCs w:val="32"/>
          <w:lang w:val="en-US" w:eastAsia="zh-CN"/>
        </w:rPr>
        <w:t>④</w:t>
      </w:r>
      <w:r>
        <w:rPr>
          <w:rFonts w:hint="default" w:ascii="Times New Roman" w:hAnsi="Times New Roman" w:eastAsia="仿宋_GB2312" w:cs="Times New Roman"/>
          <w:color w:val="auto"/>
          <w:sz w:val="32"/>
          <w:szCs w:val="32"/>
          <w:u w:val="none"/>
          <w:lang w:val="en-US" w:eastAsia="zh-CN"/>
        </w:rPr>
        <w:t>拆除现场应达到一级分类。可根据工程类型、条件和需要，实行一级和二级中某类并存分类。</w:t>
      </w:r>
    </w:p>
    <w:p w14:paraId="250CDD87">
      <w:pPr>
        <w:pageBreakBefore w:val="0"/>
        <w:kinsoku/>
        <w:wordWrap/>
        <w:topLinePunct w:val="0"/>
        <w:bidi w:val="0"/>
        <w:spacing w:beforeAutospacing="0" w:afterAutospacing="0" w:line="560" w:lineRule="exact"/>
        <w:ind w:left="0" w:leftChars="0"/>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eastAsia="zh-CN"/>
        </w:rPr>
        <w:t>⑤</w:t>
      </w:r>
      <w:r>
        <w:rPr>
          <w:rFonts w:hint="default" w:ascii="Times New Roman" w:hAnsi="Times New Roman" w:eastAsia="仿宋_GB2312" w:cs="Times New Roman"/>
          <w:color w:val="auto"/>
          <w:sz w:val="32"/>
          <w:szCs w:val="32"/>
          <w:u w:val="none"/>
          <w:lang w:val="en-US" w:eastAsia="zh-CN"/>
        </w:rPr>
        <w:t>场地充足且工期允许时，宜进行二级分类。二级分类中混凝土、石材、砖瓦和砌块中的无机杂质质量占比应</w:t>
      </w:r>
      <w:r>
        <w:rPr>
          <w:rFonts w:hint="eastAsia" w:ascii="Times New Roman" w:hAnsi="Times New Roman" w:eastAsia="仿宋_GB2312" w:cs="Times New Roman"/>
          <w:color w:val="auto"/>
          <w:sz w:val="32"/>
          <w:szCs w:val="32"/>
          <w:u w:val="none"/>
          <w:lang w:val="en-US" w:eastAsia="zh-CN"/>
        </w:rPr>
        <w:t>小</w:t>
      </w:r>
      <w:r>
        <w:rPr>
          <w:rFonts w:hint="default" w:ascii="Times New Roman" w:hAnsi="Times New Roman" w:eastAsia="仿宋_GB2312" w:cs="Times New Roman"/>
          <w:color w:val="auto"/>
          <w:sz w:val="32"/>
          <w:szCs w:val="32"/>
          <w:u w:val="none"/>
          <w:lang w:val="en-US" w:eastAsia="zh-CN"/>
        </w:rPr>
        <w:t>于10%，有机轻物质质量占比应</w:t>
      </w:r>
      <w:r>
        <w:rPr>
          <w:rFonts w:hint="eastAsia" w:ascii="Times New Roman" w:hAnsi="Times New Roman" w:eastAsia="仿宋_GB2312" w:cs="Times New Roman"/>
          <w:color w:val="auto"/>
          <w:sz w:val="32"/>
          <w:szCs w:val="32"/>
          <w:u w:val="none"/>
          <w:lang w:val="en-US" w:eastAsia="zh-CN"/>
        </w:rPr>
        <w:t>小</w:t>
      </w:r>
      <w:r>
        <w:rPr>
          <w:rFonts w:hint="default" w:ascii="Times New Roman" w:hAnsi="Times New Roman" w:eastAsia="仿宋_GB2312" w:cs="Times New Roman"/>
          <w:color w:val="auto"/>
          <w:sz w:val="32"/>
          <w:szCs w:val="32"/>
          <w:u w:val="none"/>
          <w:lang w:val="en-US" w:eastAsia="zh-CN"/>
        </w:rPr>
        <w:t>于1%。 </w:t>
      </w:r>
    </w:p>
    <w:p w14:paraId="06714919">
      <w:pPr>
        <w:pageBreakBefore w:val="0"/>
        <w:kinsoku/>
        <w:wordWrap/>
        <w:topLinePunct w:val="0"/>
        <w:bidi w:val="0"/>
        <w:spacing w:beforeAutospacing="0" w:afterAutospacing="0" w:line="560" w:lineRule="exact"/>
        <w:ind w:left="0" w:leftChars="0"/>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eastAsia="zh-CN"/>
        </w:rPr>
        <w:t>⑥</w:t>
      </w:r>
      <w:r>
        <w:rPr>
          <w:rFonts w:hint="default" w:ascii="Times New Roman" w:hAnsi="Times New Roman" w:eastAsia="仿宋_GB2312" w:cs="Times New Roman"/>
          <w:color w:val="auto"/>
          <w:sz w:val="32"/>
          <w:szCs w:val="32"/>
          <w:u w:val="none"/>
          <w:lang w:val="en-US" w:eastAsia="zh-CN"/>
        </w:rPr>
        <w:t>工程周边一定距离内有建筑垃圾资源化利用企业的，宜将二级类别中混凝土、石材、砖瓦和砌块、陶瓷分类收集。</w:t>
      </w:r>
    </w:p>
    <w:p w14:paraId="6E1CE6E1">
      <w:pPr>
        <w:pageBreakBefore w:val="0"/>
        <w:kinsoku/>
        <w:wordWrap/>
        <w:topLinePunct w:val="0"/>
        <w:bidi w:val="0"/>
        <w:spacing w:beforeAutospacing="0" w:afterAutospacing="0" w:line="560" w:lineRule="exact"/>
        <w:ind w:left="0" w:leftChars="0"/>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val="en-US" w:eastAsia="zh-CN"/>
        </w:rPr>
        <w:t>⑦工程周边一定距离内具有任意二级类别垃圾回收利用设施的，宜将相应类别的垃圾单独收集。</w:t>
      </w:r>
    </w:p>
    <w:p w14:paraId="14455A3F">
      <w:pPr>
        <w:pageBreakBefore w:val="0"/>
        <w:kinsoku/>
        <w:wordWrap/>
        <w:topLinePunct w:val="0"/>
        <w:bidi w:val="0"/>
        <w:spacing w:beforeAutospacing="0" w:afterAutospacing="0" w:line="560" w:lineRule="exact"/>
        <w:ind w:left="0" w:leftChars="0"/>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val="en-US" w:eastAsia="zh-CN"/>
        </w:rPr>
        <w:t>⑧每个工作面拆除时，宜立即进行垃圾分类收集与堆放。</w:t>
      </w:r>
    </w:p>
    <w:p w14:paraId="346815E8">
      <w:pPr>
        <w:pageBreakBefore w:val="0"/>
        <w:kinsoku/>
        <w:wordWrap/>
        <w:topLinePunct w:val="0"/>
        <w:bidi w:val="0"/>
        <w:spacing w:beforeAutospacing="0" w:afterAutospacing="0" w:line="560" w:lineRule="exact"/>
        <w:ind w:left="0" w:leftChars="0"/>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val="en-US" w:eastAsia="zh-CN"/>
        </w:rPr>
        <w:t>⑨楼层内的拆除垃圾，应采用封闭的垃圾道或垃圾袋运至堆放点，严禁向下抛掷。</w:t>
      </w:r>
    </w:p>
    <w:p w14:paraId="66788A6C">
      <w:pPr>
        <w:pageBreakBefore w:val="0"/>
        <w:kinsoku/>
        <w:wordWrap/>
        <w:topLinePunct w:val="0"/>
        <w:bidi w:val="0"/>
        <w:spacing w:beforeAutospacing="0" w:afterAutospacing="0" w:line="560" w:lineRule="exact"/>
        <w:ind w:left="0" w:leftChars="0"/>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val="en-US" w:eastAsia="zh-CN"/>
        </w:rPr>
        <w:t>⑩初次分拣宜在拆除现场进行，可采用机械辅助人工在现场将金属、混凝土、砖分离。</w:t>
      </w:r>
    </w:p>
    <w:p w14:paraId="10239B53">
      <w:pPr>
        <w:pageBreakBefore w:val="0"/>
        <w:kinsoku/>
        <w:wordWrap/>
        <w:topLinePunct w:val="0"/>
        <w:bidi w:val="0"/>
        <w:spacing w:beforeAutospacing="0" w:afterAutospacing="0" w:line="560" w:lineRule="exact"/>
        <w:ind w:left="0" w:leftChars="0"/>
        <w:rPr>
          <w:rFonts w:hint="default" w:ascii="Times New Roman" w:hAnsi="Times New Roman" w:eastAsia="仿宋_GB2312" w:cs="Times New Roman"/>
          <w:color w:val="auto"/>
          <w:sz w:val="32"/>
          <w:szCs w:val="32"/>
          <w:u w:val="none"/>
          <w:lang w:val="en-US" w:eastAsia="zh-CN"/>
        </w:rPr>
      </w:pPr>
      <w:r>
        <w:rPr>
          <w:rFonts w:hint="eastAsia" w:ascii="微软雅黑" w:hAnsi="微软雅黑" w:eastAsia="微软雅黑" w:cs="微软雅黑"/>
          <w:color w:val="auto"/>
          <w:sz w:val="32"/>
          <w:szCs w:val="32"/>
          <w:u w:val="none"/>
          <w:lang w:val="en-US" w:eastAsia="zh-CN"/>
        </w:rPr>
        <w:t>⑪</w:t>
      </w:r>
      <w:r>
        <w:rPr>
          <w:rFonts w:hint="default" w:ascii="Times New Roman" w:hAnsi="Times New Roman" w:eastAsia="仿宋_GB2312" w:cs="Times New Roman"/>
          <w:color w:val="auto"/>
          <w:sz w:val="32"/>
          <w:szCs w:val="32"/>
          <w:u w:val="none"/>
          <w:lang w:val="en-US" w:eastAsia="zh-CN"/>
        </w:rPr>
        <w:t>无机非金属类垃圾采用铲车装卸时，堆放区应留有便于铲车作业的场地。</w:t>
      </w:r>
    </w:p>
    <w:p w14:paraId="622B928C">
      <w:pPr>
        <w:pageBreakBefore w:val="0"/>
        <w:kinsoku/>
        <w:wordWrap/>
        <w:topLinePunct w:val="0"/>
        <w:bidi w:val="0"/>
        <w:spacing w:beforeAutospacing="0" w:afterAutospacing="0" w:line="560" w:lineRule="exact"/>
        <w:ind w:left="0" w:leftChars="0"/>
        <w:rPr>
          <w:rFonts w:hint="default" w:ascii="Times New Roman" w:hAnsi="Times New Roman" w:eastAsia="仿宋_GB2312" w:cs="Times New Roman"/>
          <w:color w:val="auto"/>
          <w:sz w:val="32"/>
          <w:szCs w:val="32"/>
          <w:u w:val="none"/>
          <w:lang w:val="en-US" w:eastAsia="zh-CN"/>
        </w:rPr>
      </w:pPr>
      <w:r>
        <w:rPr>
          <w:rFonts w:hint="eastAsia" w:ascii="微软雅黑" w:hAnsi="微软雅黑" w:eastAsia="微软雅黑" w:cs="微软雅黑"/>
          <w:color w:val="auto"/>
          <w:sz w:val="32"/>
          <w:szCs w:val="32"/>
          <w:u w:val="none"/>
          <w:lang w:val="en-US" w:eastAsia="zh-CN"/>
        </w:rPr>
        <w:t>⑫</w:t>
      </w:r>
      <w:r>
        <w:rPr>
          <w:rFonts w:hint="default" w:ascii="Times New Roman" w:hAnsi="Times New Roman" w:eastAsia="仿宋_GB2312" w:cs="Times New Roman"/>
          <w:color w:val="auto"/>
          <w:sz w:val="32"/>
          <w:szCs w:val="32"/>
          <w:u w:val="none"/>
          <w:lang w:val="en-US" w:eastAsia="zh-CN"/>
        </w:rPr>
        <w:t>木材、纸类堆放区域应采取防雨措施。</w:t>
      </w:r>
    </w:p>
    <w:p w14:paraId="5FC34B11">
      <w:pPr>
        <w:pageBreakBefore w:val="0"/>
        <w:kinsoku/>
        <w:wordWrap/>
        <w:topLinePunct w:val="0"/>
        <w:bidi w:val="0"/>
        <w:spacing w:beforeAutospacing="0" w:afterAutospacing="0" w:line="560" w:lineRule="exact"/>
        <w:ind w:left="0" w:leftChars="0" w:firstLine="640" w:firstLineChars="200"/>
        <w:rPr>
          <w:rFonts w:hint="default" w:ascii="Times New Roman" w:hAnsi="Times New Roman" w:eastAsia="仿宋_GB2312" w:cs="Times New Roman"/>
          <w:b/>
          <w:bCs/>
          <w:color w:val="auto"/>
          <w:sz w:val="32"/>
          <w:szCs w:val="32"/>
          <w:u w:val="none"/>
          <w:lang w:val="en-US" w:eastAsia="zh-CN"/>
        </w:rPr>
      </w:pPr>
      <w:r>
        <w:rPr>
          <w:rFonts w:hint="eastAsia" w:eastAsia="仿宋_GB2312" w:cs="Times New Roman"/>
          <w:b w:val="0"/>
          <w:bCs w:val="0"/>
          <w:color w:val="auto"/>
          <w:sz w:val="32"/>
          <w:szCs w:val="32"/>
          <w:u w:val="none"/>
          <w:lang w:val="en-US" w:eastAsia="zh-CN"/>
        </w:rPr>
        <w:t>（</w:t>
      </w:r>
      <w:r>
        <w:rPr>
          <w:rFonts w:hint="default" w:ascii="Times New Roman" w:hAnsi="Times New Roman" w:eastAsia="仿宋_GB2312" w:cs="Times New Roman"/>
          <w:b w:val="0"/>
          <w:bCs w:val="0"/>
          <w:color w:val="auto"/>
          <w:sz w:val="32"/>
          <w:szCs w:val="32"/>
          <w:u w:val="none"/>
          <w:lang w:val="en-US" w:eastAsia="zh-CN"/>
        </w:rPr>
        <w:t>6</w:t>
      </w:r>
      <w:r>
        <w:rPr>
          <w:rFonts w:hint="eastAsia" w:eastAsia="仿宋_GB2312" w:cs="Times New Roman"/>
          <w:b w:val="0"/>
          <w:bCs w:val="0"/>
          <w:color w:val="auto"/>
          <w:sz w:val="32"/>
          <w:szCs w:val="32"/>
          <w:u w:val="none"/>
          <w:lang w:val="en-US" w:eastAsia="zh-CN"/>
        </w:rPr>
        <w:t>）</w:t>
      </w:r>
      <w:r>
        <w:rPr>
          <w:rFonts w:hint="default" w:ascii="Times New Roman" w:hAnsi="Times New Roman" w:eastAsia="仿宋_GB2312" w:cs="Times New Roman"/>
          <w:b w:val="0"/>
          <w:bCs w:val="0"/>
          <w:color w:val="auto"/>
          <w:sz w:val="32"/>
          <w:szCs w:val="32"/>
          <w:u w:val="none"/>
          <w:lang w:val="en-US" w:eastAsia="zh-CN"/>
        </w:rPr>
        <w:t>装修垃圾</w:t>
      </w:r>
    </w:p>
    <w:p w14:paraId="2AEA5B94">
      <w:pPr>
        <w:pageBreakBefore w:val="0"/>
        <w:kinsoku/>
        <w:wordWrap/>
        <w:topLinePunct w:val="0"/>
        <w:bidi w:val="0"/>
        <w:spacing w:beforeAutospacing="0" w:afterAutospacing="0" w:line="560" w:lineRule="exact"/>
        <w:ind w:left="0" w:leftChars="0"/>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sz w:val="32"/>
          <w:szCs w:val="32"/>
          <w:highlight w:val="none"/>
          <w:lang w:val="en-US" w:eastAsia="zh-CN"/>
        </w:rPr>
        <w:t>①</w:t>
      </w:r>
      <w:r>
        <w:rPr>
          <w:rFonts w:hint="default" w:ascii="Times New Roman" w:hAnsi="Times New Roman" w:eastAsia="仿宋_GB2312" w:cs="Times New Roman"/>
          <w:color w:val="auto"/>
          <w:sz w:val="32"/>
          <w:szCs w:val="32"/>
          <w:u w:val="none"/>
          <w:lang w:val="en-US" w:eastAsia="zh-CN"/>
        </w:rPr>
        <w:t>装修垃圾分类收集时不应混入危险废物、大件垃圾、生活垃圾等。</w:t>
      </w:r>
    </w:p>
    <w:p w14:paraId="245FEC22">
      <w:pPr>
        <w:pageBreakBefore w:val="0"/>
        <w:kinsoku/>
        <w:wordWrap/>
        <w:topLinePunct w:val="0"/>
        <w:bidi w:val="0"/>
        <w:spacing w:beforeAutospacing="0" w:afterAutospacing="0" w:line="560" w:lineRule="exact"/>
        <w:ind w:left="0" w:leftChars="0"/>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sz w:val="32"/>
          <w:szCs w:val="32"/>
          <w:highlight w:val="none"/>
          <w:lang w:val="en-US" w:eastAsia="zh-CN"/>
        </w:rPr>
        <w:t>②</w:t>
      </w:r>
      <w:r>
        <w:rPr>
          <w:rFonts w:hint="default" w:ascii="Times New Roman" w:hAnsi="Times New Roman" w:eastAsia="仿宋_GB2312" w:cs="Times New Roman"/>
          <w:color w:val="auto"/>
          <w:sz w:val="32"/>
          <w:szCs w:val="32"/>
          <w:u w:val="none"/>
          <w:lang w:val="en-US" w:eastAsia="zh-CN"/>
        </w:rPr>
        <w:t>公共建筑、企事业单位用房、精装修交付住宅和居民住宅装修项目施工前应估算装修垃圾产生量</w:t>
      </w:r>
      <w:r>
        <w:rPr>
          <w:rFonts w:hint="eastAsia" w:ascii="Times New Roman" w:hAnsi="Times New Roman" w:eastAsia="仿宋_GB2312" w:cs="Times New Roman"/>
          <w:color w:val="auto"/>
          <w:sz w:val="32"/>
          <w:szCs w:val="32"/>
          <w:u w:val="none"/>
          <w:lang w:val="en-US" w:eastAsia="zh-CN"/>
        </w:rPr>
        <w:t>，并</w:t>
      </w:r>
      <w:r>
        <w:rPr>
          <w:rFonts w:hint="default" w:ascii="Times New Roman" w:hAnsi="Times New Roman" w:eastAsia="仿宋_GB2312" w:cs="Times New Roman"/>
          <w:color w:val="auto"/>
          <w:sz w:val="32"/>
          <w:szCs w:val="32"/>
          <w:u w:val="none"/>
          <w:lang w:val="en-US" w:eastAsia="zh-CN"/>
        </w:rPr>
        <w:t>结合当地废物回收和资源化利用企业情况</w:t>
      </w:r>
      <w:r>
        <w:rPr>
          <w:rFonts w:hint="eastAsia" w:eastAsia="仿宋_GB2312" w:cs="Times New Roman"/>
          <w:color w:val="auto"/>
          <w:sz w:val="32"/>
          <w:szCs w:val="32"/>
          <w:u w:val="none"/>
          <w:lang w:val="en-US" w:eastAsia="zh-CN"/>
        </w:rPr>
        <w:t>确定</w:t>
      </w:r>
      <w:r>
        <w:rPr>
          <w:rFonts w:hint="default" w:ascii="Times New Roman" w:hAnsi="Times New Roman" w:eastAsia="仿宋_GB2312" w:cs="Times New Roman"/>
          <w:color w:val="auto"/>
          <w:sz w:val="32"/>
          <w:szCs w:val="32"/>
          <w:u w:val="none"/>
          <w:lang w:val="en-US" w:eastAsia="zh-CN"/>
        </w:rPr>
        <w:t>装修垃圾分类收集</w:t>
      </w:r>
      <w:r>
        <w:rPr>
          <w:rFonts w:hint="eastAsia" w:eastAsia="仿宋_GB2312" w:cs="Times New Roman"/>
          <w:color w:val="auto"/>
          <w:sz w:val="32"/>
          <w:szCs w:val="32"/>
          <w:u w:val="none"/>
          <w:lang w:val="en-US" w:eastAsia="zh-CN"/>
        </w:rPr>
        <w:t>方式</w:t>
      </w:r>
      <w:r>
        <w:rPr>
          <w:rFonts w:hint="default" w:ascii="Times New Roman" w:hAnsi="Times New Roman" w:eastAsia="仿宋_GB2312" w:cs="Times New Roman"/>
          <w:color w:val="auto"/>
          <w:sz w:val="32"/>
          <w:szCs w:val="32"/>
          <w:u w:val="none"/>
          <w:lang w:val="en-US" w:eastAsia="zh-CN"/>
        </w:rPr>
        <w:t>。</w:t>
      </w:r>
    </w:p>
    <w:p w14:paraId="1FF3EC09">
      <w:pPr>
        <w:pageBreakBefore w:val="0"/>
        <w:kinsoku/>
        <w:wordWrap/>
        <w:topLinePunct w:val="0"/>
        <w:bidi w:val="0"/>
        <w:spacing w:beforeAutospacing="0" w:afterAutospacing="0" w:line="560" w:lineRule="exact"/>
        <w:ind w:left="0" w:leftChars="0"/>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sz w:val="32"/>
          <w:szCs w:val="32"/>
          <w:highlight w:val="none"/>
          <w:lang w:val="en-US" w:eastAsia="zh-CN"/>
        </w:rPr>
        <w:t>③</w:t>
      </w:r>
      <w:r>
        <w:rPr>
          <w:rFonts w:hint="default" w:ascii="Times New Roman" w:hAnsi="Times New Roman" w:eastAsia="仿宋_GB2312" w:cs="Times New Roman"/>
          <w:color w:val="auto"/>
          <w:sz w:val="32"/>
          <w:szCs w:val="32"/>
          <w:u w:val="none"/>
          <w:lang w:val="en-US" w:eastAsia="zh-CN"/>
        </w:rPr>
        <w:t>装修垃圾应根据材料性质、组分进行一级和二级分类。装修垃圾分类及来源应符合下表的规定。</w:t>
      </w:r>
    </w:p>
    <w:p w14:paraId="0ED747AE">
      <w:pPr>
        <w:pageBreakBefore w:val="0"/>
        <w:kinsoku/>
        <w:wordWrap/>
        <w:topLinePunct w:val="0"/>
        <w:bidi w:val="0"/>
        <w:spacing w:beforeAutospacing="0" w:afterAutospacing="0" w:line="560" w:lineRule="exact"/>
        <w:ind w:left="0" w:leftChars="0"/>
        <w:jc w:val="center"/>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val="en-US" w:eastAsia="zh-CN"/>
        </w:rPr>
        <w:t>表：装修垃圾分类及来源</w:t>
      </w:r>
    </w:p>
    <w:tbl>
      <w:tblPr>
        <w:tblStyle w:val="17"/>
        <w:tblW w:w="881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79"/>
        <w:gridCol w:w="2674"/>
        <w:gridCol w:w="4463"/>
      </w:tblGrid>
      <w:tr w14:paraId="4A05D3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1679" w:type="dxa"/>
            <w:vAlign w:val="center"/>
          </w:tcPr>
          <w:p w14:paraId="30AC270B">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黑体" w:hAnsi="黑体" w:eastAsia="黑体" w:cs="黑体"/>
                <w:color w:val="auto"/>
                <w:sz w:val="24"/>
                <w:szCs w:val="24"/>
                <w:u w:val="none"/>
                <w:vertAlign w:val="baseline"/>
                <w:lang w:eastAsia="zh-CN"/>
              </w:rPr>
            </w:pPr>
            <w:r>
              <w:rPr>
                <w:rFonts w:hint="eastAsia" w:ascii="黑体" w:hAnsi="黑体" w:eastAsia="黑体" w:cs="黑体"/>
                <w:color w:val="auto"/>
                <w:sz w:val="24"/>
                <w:szCs w:val="24"/>
                <w:u w:val="none"/>
                <w:vertAlign w:val="baseline"/>
                <w:lang w:eastAsia="zh-CN"/>
              </w:rPr>
              <w:t>一级分类</w:t>
            </w:r>
          </w:p>
        </w:tc>
        <w:tc>
          <w:tcPr>
            <w:tcW w:w="2674" w:type="dxa"/>
            <w:vAlign w:val="center"/>
          </w:tcPr>
          <w:p w14:paraId="00F15095">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黑体" w:hAnsi="黑体" w:eastAsia="黑体" w:cs="黑体"/>
                <w:color w:val="auto"/>
                <w:sz w:val="24"/>
                <w:szCs w:val="24"/>
                <w:u w:val="none"/>
                <w:vertAlign w:val="baseline"/>
                <w:lang w:eastAsia="zh-CN"/>
              </w:rPr>
            </w:pPr>
            <w:r>
              <w:rPr>
                <w:rFonts w:hint="eastAsia" w:ascii="黑体" w:hAnsi="黑体" w:eastAsia="黑体" w:cs="黑体"/>
                <w:color w:val="auto"/>
                <w:sz w:val="24"/>
                <w:szCs w:val="24"/>
                <w:u w:val="none"/>
                <w:vertAlign w:val="baseline"/>
                <w:lang w:eastAsia="zh-CN"/>
              </w:rPr>
              <w:t>二级分类</w:t>
            </w:r>
          </w:p>
        </w:tc>
        <w:tc>
          <w:tcPr>
            <w:tcW w:w="4463" w:type="dxa"/>
            <w:vAlign w:val="center"/>
          </w:tcPr>
          <w:p w14:paraId="1E950698">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黑体" w:hAnsi="黑体" w:eastAsia="黑体" w:cs="黑体"/>
                <w:color w:val="auto"/>
                <w:sz w:val="24"/>
                <w:szCs w:val="24"/>
                <w:u w:val="none"/>
                <w:vertAlign w:val="baseline"/>
                <w:lang w:eastAsia="zh-CN"/>
              </w:rPr>
            </w:pPr>
            <w:r>
              <w:rPr>
                <w:rFonts w:hint="eastAsia" w:ascii="黑体" w:hAnsi="黑体" w:eastAsia="黑体" w:cs="黑体"/>
                <w:color w:val="auto"/>
                <w:sz w:val="24"/>
                <w:szCs w:val="24"/>
                <w:u w:val="none"/>
                <w:vertAlign w:val="baseline"/>
                <w:lang w:eastAsia="zh-CN"/>
              </w:rPr>
              <w:t>主要来源</w:t>
            </w:r>
          </w:p>
        </w:tc>
      </w:tr>
      <w:tr w14:paraId="4D34EC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679" w:type="dxa"/>
            <w:vMerge w:val="restart"/>
            <w:vAlign w:val="center"/>
          </w:tcPr>
          <w:p w14:paraId="0AB26407">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u w:val="none"/>
                <w:vertAlign w:val="baseline"/>
                <w:lang w:val="en-US" w:eastAsia="zh-CN"/>
              </w:rPr>
            </w:pPr>
            <w:r>
              <w:rPr>
                <w:rFonts w:hint="eastAsia" w:ascii="仿宋_GB2312" w:hAnsi="仿宋_GB2312" w:eastAsia="仿宋_GB2312" w:cs="仿宋_GB2312"/>
                <w:color w:val="auto"/>
                <w:sz w:val="24"/>
                <w:szCs w:val="24"/>
                <w:u w:val="none"/>
                <w:vertAlign w:val="baseline"/>
                <w:lang w:val="en-US" w:eastAsia="zh-CN"/>
              </w:rPr>
              <w:t>无机非金属类</w:t>
            </w:r>
          </w:p>
        </w:tc>
        <w:tc>
          <w:tcPr>
            <w:tcW w:w="2674" w:type="dxa"/>
            <w:vAlign w:val="center"/>
          </w:tcPr>
          <w:p w14:paraId="5B4511A5">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u w:val="none"/>
                <w:vertAlign w:val="baseline"/>
                <w:lang w:val="en-US" w:eastAsia="zh-CN"/>
              </w:rPr>
            </w:pPr>
            <w:r>
              <w:rPr>
                <w:rFonts w:hint="eastAsia" w:ascii="仿宋_GB2312" w:hAnsi="仿宋_GB2312" w:eastAsia="仿宋_GB2312" w:cs="仿宋_GB2312"/>
                <w:color w:val="auto"/>
                <w:sz w:val="24"/>
                <w:szCs w:val="24"/>
                <w:u w:val="none"/>
                <w:vertAlign w:val="baseline"/>
                <w:lang w:val="en-US" w:eastAsia="zh-CN"/>
              </w:rPr>
              <w:t>混凝土块</w:t>
            </w:r>
          </w:p>
        </w:tc>
        <w:tc>
          <w:tcPr>
            <w:tcW w:w="4463" w:type="dxa"/>
            <w:vAlign w:val="center"/>
          </w:tcPr>
          <w:p w14:paraId="6EAE0B54">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u w:val="none"/>
                <w:vertAlign w:val="baseline"/>
                <w:lang w:val="en-US" w:eastAsia="zh-CN"/>
              </w:rPr>
            </w:pPr>
            <w:r>
              <w:rPr>
                <w:rFonts w:hint="eastAsia" w:ascii="仿宋_GB2312" w:hAnsi="仿宋_GB2312" w:eastAsia="仿宋_GB2312" w:cs="仿宋_GB2312"/>
                <w:color w:val="auto"/>
                <w:sz w:val="24"/>
                <w:szCs w:val="24"/>
                <w:u w:val="none"/>
                <w:vertAlign w:val="baseline"/>
              </w:rPr>
              <w:t>填充墙构造柱、装饰性构件等</w:t>
            </w:r>
          </w:p>
        </w:tc>
      </w:tr>
      <w:tr w14:paraId="2A5126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679" w:type="dxa"/>
            <w:vMerge w:val="continue"/>
            <w:vAlign w:val="center"/>
          </w:tcPr>
          <w:p w14:paraId="7A8ABC1D">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u w:val="none"/>
                <w:vertAlign w:val="baseline"/>
                <w:lang w:val="en-US" w:eastAsia="zh-CN"/>
              </w:rPr>
            </w:pPr>
          </w:p>
          <w:p w14:paraId="1D155EA8">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u w:val="none"/>
                <w:vertAlign w:val="baseline"/>
                <w:lang w:val="en-US" w:eastAsia="zh-CN"/>
              </w:rPr>
            </w:pPr>
          </w:p>
        </w:tc>
        <w:tc>
          <w:tcPr>
            <w:tcW w:w="2674" w:type="dxa"/>
            <w:vAlign w:val="center"/>
          </w:tcPr>
          <w:p w14:paraId="3528784E">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u w:val="none"/>
                <w:vertAlign w:val="baseline"/>
                <w:lang w:val="en-US" w:eastAsia="zh-CN"/>
              </w:rPr>
            </w:pPr>
            <w:r>
              <w:rPr>
                <w:rFonts w:hint="eastAsia" w:ascii="仿宋_GB2312" w:hAnsi="仿宋_GB2312" w:eastAsia="仿宋_GB2312" w:cs="仿宋_GB2312"/>
                <w:color w:val="auto"/>
                <w:sz w:val="24"/>
                <w:szCs w:val="24"/>
                <w:u w:val="none"/>
                <w:vertAlign w:val="baseline"/>
                <w:lang w:val="en-US" w:eastAsia="zh-CN"/>
              </w:rPr>
              <w:t>石材</w:t>
            </w:r>
          </w:p>
        </w:tc>
        <w:tc>
          <w:tcPr>
            <w:tcW w:w="4463" w:type="dxa"/>
            <w:vAlign w:val="center"/>
          </w:tcPr>
          <w:p w14:paraId="19E2C523">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u w:val="none"/>
                <w:vertAlign w:val="baseline"/>
                <w:lang w:val="en-US" w:eastAsia="zh-CN"/>
              </w:rPr>
            </w:pPr>
            <w:r>
              <w:rPr>
                <w:rFonts w:hint="eastAsia" w:ascii="仿宋_GB2312" w:hAnsi="仿宋_GB2312" w:eastAsia="仿宋_GB2312" w:cs="仿宋_GB2312"/>
                <w:color w:val="auto"/>
                <w:sz w:val="24"/>
                <w:szCs w:val="24"/>
                <w:u w:val="none"/>
                <w:vertAlign w:val="baseline"/>
              </w:rPr>
              <w:t>地面、墙面等</w:t>
            </w:r>
          </w:p>
        </w:tc>
      </w:tr>
      <w:tr w14:paraId="06CF5B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679" w:type="dxa"/>
            <w:vMerge w:val="continue"/>
            <w:vAlign w:val="center"/>
          </w:tcPr>
          <w:p w14:paraId="47CDCA3C">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u w:val="none"/>
                <w:vertAlign w:val="baseline"/>
                <w:lang w:val="en-US" w:eastAsia="zh-CN"/>
              </w:rPr>
            </w:pPr>
          </w:p>
        </w:tc>
        <w:tc>
          <w:tcPr>
            <w:tcW w:w="2674" w:type="dxa"/>
            <w:vAlign w:val="center"/>
          </w:tcPr>
          <w:p w14:paraId="46338E9D">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u w:val="none"/>
                <w:vertAlign w:val="baseline"/>
                <w:lang w:val="en-US" w:eastAsia="zh-CN"/>
              </w:rPr>
            </w:pPr>
            <w:r>
              <w:rPr>
                <w:rFonts w:hint="eastAsia" w:ascii="仿宋_GB2312" w:hAnsi="仿宋_GB2312" w:eastAsia="仿宋_GB2312" w:cs="仿宋_GB2312"/>
                <w:color w:val="auto"/>
                <w:sz w:val="24"/>
                <w:szCs w:val="24"/>
                <w:u w:val="none"/>
                <w:vertAlign w:val="baseline"/>
                <w:lang w:val="en-US" w:eastAsia="zh-CN"/>
              </w:rPr>
              <w:t>砖、砌块</w:t>
            </w:r>
          </w:p>
        </w:tc>
        <w:tc>
          <w:tcPr>
            <w:tcW w:w="4463" w:type="dxa"/>
            <w:vAlign w:val="center"/>
          </w:tcPr>
          <w:p w14:paraId="702BF04C">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u w:val="none"/>
                <w:vertAlign w:val="baseline"/>
                <w:lang w:val="en-US" w:eastAsia="zh-CN"/>
              </w:rPr>
            </w:pPr>
            <w:r>
              <w:rPr>
                <w:rFonts w:hint="eastAsia" w:ascii="仿宋_GB2312" w:hAnsi="仿宋_GB2312" w:eastAsia="仿宋_GB2312" w:cs="仿宋_GB2312"/>
                <w:color w:val="auto"/>
                <w:sz w:val="24"/>
                <w:szCs w:val="24"/>
                <w:u w:val="none"/>
                <w:vertAlign w:val="baseline"/>
              </w:rPr>
              <w:t>墙体、砌体等</w:t>
            </w:r>
          </w:p>
        </w:tc>
      </w:tr>
      <w:tr w14:paraId="40428E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679" w:type="dxa"/>
            <w:vMerge w:val="continue"/>
            <w:vAlign w:val="center"/>
          </w:tcPr>
          <w:p w14:paraId="6DFDB84B">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u w:val="none"/>
                <w:vertAlign w:val="baseline"/>
                <w:lang w:val="en-US" w:eastAsia="zh-CN"/>
              </w:rPr>
            </w:pPr>
          </w:p>
        </w:tc>
        <w:tc>
          <w:tcPr>
            <w:tcW w:w="2674" w:type="dxa"/>
            <w:vAlign w:val="center"/>
          </w:tcPr>
          <w:p w14:paraId="26DF56CE">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u w:val="none"/>
                <w:vertAlign w:val="baseline"/>
                <w:lang w:val="en-US" w:eastAsia="zh-CN"/>
              </w:rPr>
            </w:pPr>
            <w:r>
              <w:rPr>
                <w:rFonts w:hint="eastAsia" w:ascii="仿宋_GB2312" w:hAnsi="仿宋_GB2312" w:eastAsia="仿宋_GB2312" w:cs="仿宋_GB2312"/>
                <w:color w:val="auto"/>
                <w:sz w:val="24"/>
                <w:szCs w:val="24"/>
                <w:u w:val="none"/>
                <w:vertAlign w:val="baseline"/>
                <w:lang w:val="en-US" w:eastAsia="zh-CN"/>
              </w:rPr>
              <w:t>轻型墙体材料</w:t>
            </w:r>
          </w:p>
        </w:tc>
        <w:tc>
          <w:tcPr>
            <w:tcW w:w="4463" w:type="dxa"/>
            <w:vAlign w:val="center"/>
          </w:tcPr>
          <w:p w14:paraId="033415D7">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u w:val="none"/>
                <w:vertAlign w:val="baseline"/>
              </w:rPr>
            </w:pPr>
            <w:r>
              <w:rPr>
                <w:rFonts w:hint="eastAsia" w:ascii="仿宋_GB2312" w:hAnsi="仿宋_GB2312" w:eastAsia="仿宋_GB2312" w:cs="仿宋_GB2312"/>
                <w:color w:val="auto"/>
                <w:sz w:val="24"/>
                <w:szCs w:val="24"/>
                <w:u w:val="none"/>
                <w:vertAlign w:val="baseline"/>
              </w:rPr>
              <w:t>墙体</w:t>
            </w:r>
          </w:p>
        </w:tc>
      </w:tr>
      <w:tr w14:paraId="6AEC20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679" w:type="dxa"/>
            <w:vMerge w:val="continue"/>
            <w:vAlign w:val="center"/>
          </w:tcPr>
          <w:p w14:paraId="3D9C33DF">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u w:val="none"/>
                <w:vertAlign w:val="baseline"/>
                <w:lang w:val="en-US" w:eastAsia="zh-CN"/>
              </w:rPr>
            </w:pPr>
          </w:p>
        </w:tc>
        <w:tc>
          <w:tcPr>
            <w:tcW w:w="2674" w:type="dxa"/>
            <w:vAlign w:val="center"/>
          </w:tcPr>
          <w:p w14:paraId="596AA810">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u w:val="none"/>
                <w:vertAlign w:val="baseline"/>
                <w:lang w:val="en-US" w:eastAsia="zh-CN"/>
              </w:rPr>
            </w:pPr>
            <w:r>
              <w:rPr>
                <w:rFonts w:hint="eastAsia" w:ascii="仿宋_GB2312" w:hAnsi="仿宋_GB2312" w:eastAsia="仿宋_GB2312" w:cs="仿宋_GB2312"/>
                <w:color w:val="auto"/>
                <w:sz w:val="24"/>
                <w:szCs w:val="24"/>
                <w:u w:val="none"/>
                <w:vertAlign w:val="baseline"/>
                <w:lang w:val="en-US" w:eastAsia="zh-CN"/>
              </w:rPr>
              <w:t>砂浆</w:t>
            </w:r>
          </w:p>
        </w:tc>
        <w:tc>
          <w:tcPr>
            <w:tcW w:w="4463" w:type="dxa"/>
            <w:vAlign w:val="center"/>
          </w:tcPr>
          <w:p w14:paraId="01DF3167">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u w:val="none"/>
                <w:vertAlign w:val="baseline"/>
              </w:rPr>
            </w:pPr>
            <w:r>
              <w:rPr>
                <w:rFonts w:hint="eastAsia" w:ascii="仿宋_GB2312" w:hAnsi="仿宋_GB2312" w:eastAsia="仿宋_GB2312" w:cs="仿宋_GB2312"/>
                <w:color w:val="auto"/>
                <w:sz w:val="24"/>
                <w:szCs w:val="24"/>
                <w:u w:val="none"/>
                <w:vertAlign w:val="baseline"/>
              </w:rPr>
              <w:t>墙体、砌体</w:t>
            </w:r>
          </w:p>
        </w:tc>
      </w:tr>
      <w:tr w14:paraId="534DE5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679" w:type="dxa"/>
            <w:vMerge w:val="continue"/>
            <w:vAlign w:val="center"/>
          </w:tcPr>
          <w:p w14:paraId="1604A536">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u w:val="none"/>
                <w:vertAlign w:val="baseline"/>
                <w:lang w:val="en-US" w:eastAsia="zh-CN"/>
              </w:rPr>
            </w:pPr>
          </w:p>
        </w:tc>
        <w:tc>
          <w:tcPr>
            <w:tcW w:w="2674" w:type="dxa"/>
            <w:vAlign w:val="center"/>
          </w:tcPr>
          <w:p w14:paraId="5F197E66">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u w:val="none"/>
                <w:vertAlign w:val="baseline"/>
                <w:lang w:val="en-US" w:eastAsia="zh-CN"/>
              </w:rPr>
            </w:pPr>
            <w:r>
              <w:rPr>
                <w:rFonts w:hint="eastAsia" w:ascii="仿宋_GB2312" w:hAnsi="仿宋_GB2312" w:eastAsia="仿宋_GB2312" w:cs="仿宋_GB2312"/>
                <w:color w:val="auto"/>
                <w:sz w:val="24"/>
                <w:szCs w:val="24"/>
                <w:u w:val="none"/>
                <w:vertAlign w:val="baseline"/>
                <w:lang w:val="en-US" w:eastAsia="zh-CN"/>
              </w:rPr>
              <w:t>陶瓷</w:t>
            </w:r>
          </w:p>
        </w:tc>
        <w:tc>
          <w:tcPr>
            <w:tcW w:w="4463" w:type="dxa"/>
            <w:vAlign w:val="center"/>
          </w:tcPr>
          <w:p w14:paraId="2ACB2D94">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u w:val="none"/>
                <w:vertAlign w:val="baseline"/>
                <w:lang w:val="en-US" w:eastAsia="zh-CN"/>
              </w:rPr>
            </w:pPr>
            <w:r>
              <w:rPr>
                <w:rFonts w:hint="eastAsia" w:ascii="仿宋_GB2312" w:hAnsi="仿宋_GB2312" w:eastAsia="仿宋_GB2312" w:cs="仿宋_GB2312"/>
                <w:color w:val="auto"/>
                <w:sz w:val="24"/>
                <w:szCs w:val="24"/>
                <w:u w:val="none"/>
                <w:vertAlign w:val="baseline"/>
              </w:rPr>
              <w:t>卫生洁具、地面、墙面等</w:t>
            </w:r>
          </w:p>
        </w:tc>
      </w:tr>
      <w:tr w14:paraId="2F94BA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679" w:type="dxa"/>
            <w:vMerge w:val="continue"/>
            <w:vAlign w:val="center"/>
          </w:tcPr>
          <w:p w14:paraId="046A8215">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u w:val="none"/>
                <w:vertAlign w:val="baseline"/>
                <w:lang w:val="en-US" w:eastAsia="zh-CN"/>
              </w:rPr>
            </w:pPr>
          </w:p>
        </w:tc>
        <w:tc>
          <w:tcPr>
            <w:tcW w:w="2674" w:type="dxa"/>
            <w:vAlign w:val="center"/>
          </w:tcPr>
          <w:p w14:paraId="0999D10E">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u w:val="none"/>
                <w:vertAlign w:val="baseline"/>
                <w:lang w:val="en-US" w:eastAsia="zh-CN"/>
              </w:rPr>
            </w:pPr>
            <w:r>
              <w:rPr>
                <w:rFonts w:hint="eastAsia" w:ascii="仿宋_GB2312" w:hAnsi="仿宋_GB2312" w:eastAsia="仿宋_GB2312" w:cs="仿宋_GB2312"/>
                <w:color w:val="auto"/>
                <w:sz w:val="24"/>
                <w:szCs w:val="24"/>
                <w:u w:val="none"/>
                <w:vertAlign w:val="baseline"/>
                <w:lang w:val="en-US" w:eastAsia="zh-CN"/>
              </w:rPr>
              <w:t>玻璃</w:t>
            </w:r>
          </w:p>
        </w:tc>
        <w:tc>
          <w:tcPr>
            <w:tcW w:w="4463" w:type="dxa"/>
            <w:vAlign w:val="center"/>
          </w:tcPr>
          <w:p w14:paraId="4B38E278">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u w:val="none"/>
                <w:vertAlign w:val="baseline"/>
                <w:lang w:val="en-US" w:eastAsia="zh-CN"/>
              </w:rPr>
            </w:pPr>
            <w:r>
              <w:rPr>
                <w:rFonts w:hint="eastAsia" w:ascii="仿宋_GB2312" w:hAnsi="仿宋_GB2312" w:eastAsia="仿宋_GB2312" w:cs="仿宋_GB2312"/>
                <w:color w:val="auto"/>
                <w:sz w:val="24"/>
                <w:szCs w:val="24"/>
                <w:u w:val="none"/>
                <w:vertAlign w:val="baseline"/>
              </w:rPr>
              <w:t>门窗、屏风、家具、洁具等</w:t>
            </w:r>
          </w:p>
        </w:tc>
      </w:tr>
      <w:tr w14:paraId="7E9C3C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679" w:type="dxa"/>
            <w:vMerge w:val="continue"/>
            <w:vAlign w:val="center"/>
          </w:tcPr>
          <w:p w14:paraId="0BE892B9">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u w:val="none"/>
                <w:vertAlign w:val="baseline"/>
                <w:lang w:eastAsia="zh-CN"/>
              </w:rPr>
            </w:pPr>
          </w:p>
        </w:tc>
        <w:tc>
          <w:tcPr>
            <w:tcW w:w="2674" w:type="dxa"/>
            <w:vAlign w:val="center"/>
          </w:tcPr>
          <w:p w14:paraId="42FAD0C7">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u w:val="none"/>
                <w:vertAlign w:val="baseline"/>
                <w:lang w:val="en-US" w:eastAsia="zh-CN"/>
              </w:rPr>
            </w:pPr>
            <w:r>
              <w:rPr>
                <w:rFonts w:hint="eastAsia" w:ascii="仿宋_GB2312" w:hAnsi="仿宋_GB2312" w:eastAsia="仿宋_GB2312" w:cs="仿宋_GB2312"/>
                <w:color w:val="auto"/>
                <w:sz w:val="24"/>
                <w:szCs w:val="24"/>
                <w:u w:val="none"/>
                <w:vertAlign w:val="baseline"/>
              </w:rPr>
              <w:t>石膏</w:t>
            </w:r>
          </w:p>
        </w:tc>
        <w:tc>
          <w:tcPr>
            <w:tcW w:w="4463" w:type="dxa"/>
            <w:vAlign w:val="center"/>
          </w:tcPr>
          <w:p w14:paraId="0B7B79D8">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u w:val="none"/>
                <w:vertAlign w:val="baseline"/>
                <w:lang w:val="en-US" w:eastAsia="zh-CN"/>
              </w:rPr>
            </w:pPr>
            <w:r>
              <w:rPr>
                <w:rFonts w:hint="eastAsia" w:ascii="仿宋_GB2312" w:hAnsi="仿宋_GB2312" w:eastAsia="仿宋_GB2312" w:cs="仿宋_GB2312"/>
                <w:color w:val="auto"/>
                <w:sz w:val="24"/>
                <w:szCs w:val="24"/>
                <w:u w:val="none"/>
                <w:vertAlign w:val="baseline"/>
              </w:rPr>
              <w:t>吊顶、墙体</w:t>
            </w:r>
          </w:p>
        </w:tc>
      </w:tr>
      <w:tr w14:paraId="623A36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679" w:type="dxa"/>
            <w:vMerge w:val="continue"/>
            <w:vAlign w:val="center"/>
          </w:tcPr>
          <w:p w14:paraId="028E5DF6">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u w:val="none"/>
                <w:vertAlign w:val="baseline"/>
                <w:lang w:eastAsia="zh-CN"/>
              </w:rPr>
            </w:pPr>
          </w:p>
        </w:tc>
        <w:tc>
          <w:tcPr>
            <w:tcW w:w="2674" w:type="dxa"/>
            <w:vAlign w:val="center"/>
          </w:tcPr>
          <w:p w14:paraId="18AE319C">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u w:val="none"/>
                <w:vertAlign w:val="baseline"/>
              </w:rPr>
            </w:pPr>
            <w:r>
              <w:rPr>
                <w:rFonts w:hint="eastAsia" w:ascii="仿宋_GB2312" w:hAnsi="仿宋_GB2312" w:eastAsia="仿宋_GB2312" w:cs="仿宋_GB2312"/>
                <w:color w:val="auto"/>
                <w:sz w:val="24"/>
                <w:szCs w:val="24"/>
                <w:u w:val="none"/>
                <w:vertAlign w:val="baseline"/>
              </w:rPr>
              <w:t>灰砂</w:t>
            </w:r>
          </w:p>
        </w:tc>
        <w:tc>
          <w:tcPr>
            <w:tcW w:w="4463" w:type="dxa"/>
            <w:vAlign w:val="center"/>
          </w:tcPr>
          <w:p w14:paraId="1E8C079C">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u w:val="none"/>
                <w:vertAlign w:val="baseline"/>
              </w:rPr>
            </w:pPr>
            <w:r>
              <w:rPr>
                <w:rFonts w:hint="eastAsia" w:ascii="仿宋_GB2312" w:hAnsi="仿宋_GB2312" w:eastAsia="仿宋_GB2312" w:cs="仿宋_GB2312"/>
                <w:color w:val="auto"/>
                <w:sz w:val="24"/>
                <w:szCs w:val="24"/>
                <w:u w:val="none"/>
                <w:vertAlign w:val="baseline"/>
              </w:rPr>
              <w:t>沉积灰等</w:t>
            </w:r>
          </w:p>
        </w:tc>
      </w:tr>
      <w:tr w14:paraId="0B12B5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79" w:type="dxa"/>
            <w:vMerge w:val="restart"/>
            <w:vAlign w:val="center"/>
          </w:tcPr>
          <w:p w14:paraId="45D1ABC7">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u w:val="none"/>
                <w:vertAlign w:val="baseline"/>
              </w:rPr>
            </w:pPr>
            <w:r>
              <w:rPr>
                <w:rFonts w:hint="eastAsia" w:ascii="仿宋_GB2312" w:hAnsi="仿宋_GB2312" w:eastAsia="仿宋_GB2312" w:cs="仿宋_GB2312"/>
                <w:color w:val="auto"/>
                <w:sz w:val="24"/>
                <w:szCs w:val="24"/>
                <w:u w:val="none"/>
                <w:vertAlign w:val="baseline"/>
              </w:rPr>
              <w:t>金属类</w:t>
            </w:r>
          </w:p>
        </w:tc>
        <w:tc>
          <w:tcPr>
            <w:tcW w:w="2674" w:type="dxa"/>
            <w:vAlign w:val="center"/>
          </w:tcPr>
          <w:p w14:paraId="4C1E6FA1">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u w:val="none"/>
                <w:vertAlign w:val="baseline"/>
              </w:rPr>
            </w:pPr>
            <w:r>
              <w:rPr>
                <w:rFonts w:hint="eastAsia" w:ascii="仿宋_GB2312" w:hAnsi="仿宋_GB2312" w:eastAsia="仿宋_GB2312" w:cs="仿宋_GB2312"/>
                <w:color w:val="auto"/>
                <w:sz w:val="24"/>
                <w:szCs w:val="24"/>
                <w:u w:val="none"/>
                <w:vertAlign w:val="baseline"/>
              </w:rPr>
              <w:t>钢、铁</w:t>
            </w:r>
          </w:p>
        </w:tc>
        <w:tc>
          <w:tcPr>
            <w:tcW w:w="4463" w:type="dxa"/>
            <w:vAlign w:val="center"/>
          </w:tcPr>
          <w:p w14:paraId="2A45241D">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u w:val="none"/>
                <w:vertAlign w:val="baseline"/>
              </w:rPr>
            </w:pPr>
            <w:r>
              <w:rPr>
                <w:rFonts w:hint="eastAsia" w:ascii="仿宋_GB2312" w:hAnsi="仿宋_GB2312" w:eastAsia="仿宋_GB2312" w:cs="仿宋_GB2312"/>
                <w:color w:val="auto"/>
                <w:sz w:val="24"/>
                <w:szCs w:val="24"/>
                <w:u w:val="none"/>
                <w:vertAlign w:val="baseline"/>
              </w:rPr>
              <w:t>门窗、护栏、施工工具、装修辅材、边角料</w:t>
            </w:r>
          </w:p>
        </w:tc>
      </w:tr>
      <w:tr w14:paraId="4B38C9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79" w:type="dxa"/>
            <w:vMerge w:val="continue"/>
            <w:vAlign w:val="center"/>
          </w:tcPr>
          <w:p w14:paraId="0D33B82F">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u w:val="none"/>
                <w:vertAlign w:val="baseline"/>
              </w:rPr>
            </w:pPr>
          </w:p>
        </w:tc>
        <w:tc>
          <w:tcPr>
            <w:tcW w:w="2674" w:type="dxa"/>
            <w:vAlign w:val="center"/>
          </w:tcPr>
          <w:p w14:paraId="427647E0">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u w:val="none"/>
                <w:vertAlign w:val="baseline"/>
                <w:lang w:eastAsia="zh-CN"/>
              </w:rPr>
            </w:pPr>
            <w:r>
              <w:rPr>
                <w:rFonts w:hint="eastAsia" w:ascii="仿宋_GB2312" w:hAnsi="仿宋_GB2312" w:eastAsia="仿宋_GB2312" w:cs="仿宋_GB2312"/>
                <w:color w:val="auto"/>
                <w:sz w:val="24"/>
                <w:szCs w:val="24"/>
                <w:u w:val="none"/>
                <w:vertAlign w:val="baseline"/>
                <w:lang w:eastAsia="zh-CN"/>
              </w:rPr>
              <w:t>铝</w:t>
            </w:r>
          </w:p>
        </w:tc>
        <w:tc>
          <w:tcPr>
            <w:tcW w:w="4463" w:type="dxa"/>
            <w:vAlign w:val="center"/>
          </w:tcPr>
          <w:p w14:paraId="4D217407">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u w:val="none"/>
                <w:vertAlign w:val="baseline"/>
              </w:rPr>
            </w:pPr>
            <w:r>
              <w:rPr>
                <w:rFonts w:hint="eastAsia" w:ascii="仿宋_GB2312" w:hAnsi="仿宋_GB2312" w:eastAsia="仿宋_GB2312" w:cs="仿宋_GB2312"/>
                <w:color w:val="auto"/>
                <w:sz w:val="24"/>
                <w:szCs w:val="24"/>
                <w:u w:val="none"/>
                <w:vertAlign w:val="baseline"/>
              </w:rPr>
              <w:t>五金件、管线</w:t>
            </w:r>
          </w:p>
        </w:tc>
      </w:tr>
      <w:tr w14:paraId="4CDDFD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79" w:type="dxa"/>
            <w:vMerge w:val="continue"/>
            <w:vAlign w:val="center"/>
          </w:tcPr>
          <w:p w14:paraId="164F76B3">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u w:val="none"/>
                <w:vertAlign w:val="baseline"/>
              </w:rPr>
            </w:pPr>
          </w:p>
        </w:tc>
        <w:tc>
          <w:tcPr>
            <w:tcW w:w="2674" w:type="dxa"/>
            <w:vAlign w:val="center"/>
          </w:tcPr>
          <w:p w14:paraId="07932657">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u w:val="none"/>
                <w:vertAlign w:val="baseline"/>
                <w:lang w:val="en-US" w:eastAsia="zh-CN"/>
              </w:rPr>
            </w:pPr>
            <w:r>
              <w:rPr>
                <w:rFonts w:hint="eastAsia" w:ascii="仿宋_GB2312" w:hAnsi="仿宋_GB2312" w:eastAsia="仿宋_GB2312" w:cs="仿宋_GB2312"/>
                <w:color w:val="auto"/>
                <w:sz w:val="24"/>
                <w:szCs w:val="24"/>
                <w:u w:val="none"/>
                <w:vertAlign w:val="baseline"/>
              </w:rPr>
              <w:t>铜</w:t>
            </w:r>
          </w:p>
        </w:tc>
        <w:tc>
          <w:tcPr>
            <w:tcW w:w="4463" w:type="dxa"/>
            <w:vAlign w:val="center"/>
          </w:tcPr>
          <w:p w14:paraId="356E0E69">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u w:val="none"/>
                <w:vertAlign w:val="baseline"/>
                <w:lang w:val="en-US" w:eastAsia="zh-CN"/>
              </w:rPr>
            </w:pPr>
            <w:r>
              <w:rPr>
                <w:rFonts w:hint="eastAsia" w:ascii="仿宋_GB2312" w:hAnsi="仿宋_GB2312" w:eastAsia="仿宋_GB2312" w:cs="仿宋_GB2312"/>
                <w:color w:val="auto"/>
                <w:sz w:val="24"/>
                <w:szCs w:val="24"/>
                <w:u w:val="none"/>
                <w:vertAlign w:val="baseline"/>
              </w:rPr>
              <w:t>五金件、管线</w:t>
            </w:r>
          </w:p>
        </w:tc>
      </w:tr>
      <w:tr w14:paraId="6C06C6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79" w:type="dxa"/>
            <w:vMerge w:val="continue"/>
            <w:vAlign w:val="center"/>
          </w:tcPr>
          <w:p w14:paraId="491A171D">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u w:val="none"/>
                <w:vertAlign w:val="baseline"/>
              </w:rPr>
            </w:pPr>
          </w:p>
        </w:tc>
        <w:tc>
          <w:tcPr>
            <w:tcW w:w="2674" w:type="dxa"/>
            <w:vAlign w:val="center"/>
          </w:tcPr>
          <w:p w14:paraId="0FA99E53">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u w:val="none"/>
                <w:vertAlign w:val="baseline"/>
              </w:rPr>
            </w:pPr>
            <w:r>
              <w:rPr>
                <w:rFonts w:hint="eastAsia" w:ascii="仿宋_GB2312" w:hAnsi="仿宋_GB2312" w:eastAsia="仿宋_GB2312" w:cs="仿宋_GB2312"/>
                <w:color w:val="auto"/>
                <w:sz w:val="24"/>
                <w:szCs w:val="24"/>
                <w:u w:val="none"/>
                <w:vertAlign w:val="baseline"/>
              </w:rPr>
              <w:t>其他合金</w:t>
            </w:r>
          </w:p>
        </w:tc>
        <w:tc>
          <w:tcPr>
            <w:tcW w:w="4463" w:type="dxa"/>
            <w:vAlign w:val="center"/>
          </w:tcPr>
          <w:p w14:paraId="44A2418C">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u w:val="none"/>
                <w:vertAlign w:val="baseline"/>
              </w:rPr>
            </w:pPr>
            <w:r>
              <w:rPr>
                <w:rFonts w:hint="eastAsia" w:ascii="仿宋_GB2312" w:hAnsi="仿宋_GB2312" w:eastAsia="仿宋_GB2312" w:cs="仿宋_GB2312"/>
                <w:color w:val="auto"/>
                <w:sz w:val="24"/>
                <w:szCs w:val="24"/>
                <w:u w:val="none"/>
                <w:vertAlign w:val="baseline"/>
              </w:rPr>
              <w:t>五金件、装饰材料</w:t>
            </w:r>
          </w:p>
        </w:tc>
      </w:tr>
      <w:tr w14:paraId="4C66FA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79" w:type="dxa"/>
            <w:vMerge w:val="restart"/>
            <w:vAlign w:val="center"/>
          </w:tcPr>
          <w:p w14:paraId="1F61FF03">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u w:val="none"/>
                <w:vertAlign w:val="baseline"/>
                <w:lang w:val="en-US" w:eastAsia="zh-CN"/>
              </w:rPr>
            </w:pPr>
            <w:r>
              <w:rPr>
                <w:rFonts w:hint="eastAsia" w:ascii="仿宋_GB2312" w:hAnsi="仿宋_GB2312" w:eastAsia="仿宋_GB2312" w:cs="仿宋_GB2312"/>
                <w:color w:val="auto"/>
                <w:sz w:val="24"/>
                <w:szCs w:val="24"/>
                <w:u w:val="none"/>
                <w:vertAlign w:val="baseline"/>
              </w:rPr>
              <w:t>其他类</w:t>
            </w:r>
          </w:p>
        </w:tc>
        <w:tc>
          <w:tcPr>
            <w:tcW w:w="2674" w:type="dxa"/>
            <w:vAlign w:val="center"/>
          </w:tcPr>
          <w:p w14:paraId="6B758E49">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u w:val="none"/>
                <w:vertAlign w:val="baseline"/>
                <w:lang w:eastAsia="zh-CN"/>
              </w:rPr>
            </w:pPr>
            <w:r>
              <w:rPr>
                <w:rFonts w:hint="eastAsia" w:ascii="仿宋_GB2312" w:hAnsi="仿宋_GB2312" w:eastAsia="仿宋_GB2312" w:cs="仿宋_GB2312"/>
                <w:color w:val="auto"/>
                <w:sz w:val="24"/>
                <w:szCs w:val="24"/>
                <w:u w:val="none"/>
                <w:vertAlign w:val="baseline"/>
              </w:rPr>
              <w:t>木材</w:t>
            </w:r>
            <w:r>
              <w:rPr>
                <w:rFonts w:hint="eastAsia" w:ascii="仿宋_GB2312" w:hAnsi="仿宋_GB2312" w:eastAsia="仿宋_GB2312" w:cs="仿宋_GB2312"/>
                <w:color w:val="auto"/>
                <w:sz w:val="24"/>
                <w:szCs w:val="24"/>
                <w:u w:val="none"/>
                <w:vertAlign w:val="baseline"/>
                <w:lang w:eastAsia="zh-CN"/>
              </w:rPr>
              <w:t>、竹材</w:t>
            </w:r>
          </w:p>
        </w:tc>
        <w:tc>
          <w:tcPr>
            <w:tcW w:w="4463" w:type="dxa"/>
            <w:vAlign w:val="center"/>
          </w:tcPr>
          <w:p w14:paraId="2115CAE7">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u w:val="none"/>
                <w:vertAlign w:val="baseline"/>
              </w:rPr>
            </w:pPr>
            <w:r>
              <w:rPr>
                <w:rFonts w:hint="eastAsia" w:ascii="仿宋_GB2312" w:hAnsi="仿宋_GB2312" w:eastAsia="仿宋_GB2312" w:cs="仿宋_GB2312"/>
                <w:color w:val="auto"/>
                <w:sz w:val="24"/>
                <w:szCs w:val="24"/>
                <w:u w:val="none"/>
                <w:vertAlign w:val="baseline"/>
              </w:rPr>
              <w:t>地板、门窗、辅材边角料</w:t>
            </w:r>
          </w:p>
        </w:tc>
      </w:tr>
      <w:tr w14:paraId="125C50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79" w:type="dxa"/>
            <w:vMerge w:val="continue"/>
            <w:vAlign w:val="center"/>
          </w:tcPr>
          <w:p w14:paraId="3AB1ED45">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u w:val="none"/>
                <w:vertAlign w:val="baseline"/>
              </w:rPr>
            </w:pPr>
          </w:p>
        </w:tc>
        <w:tc>
          <w:tcPr>
            <w:tcW w:w="2674" w:type="dxa"/>
            <w:vAlign w:val="center"/>
          </w:tcPr>
          <w:p w14:paraId="0E574FAB">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u w:val="none"/>
                <w:vertAlign w:val="baseline"/>
              </w:rPr>
            </w:pPr>
            <w:r>
              <w:rPr>
                <w:rFonts w:hint="eastAsia" w:ascii="仿宋_GB2312" w:hAnsi="仿宋_GB2312" w:eastAsia="仿宋_GB2312" w:cs="仿宋_GB2312"/>
                <w:color w:val="auto"/>
                <w:sz w:val="24"/>
                <w:szCs w:val="24"/>
                <w:u w:val="none"/>
                <w:vertAlign w:val="baseline"/>
              </w:rPr>
              <w:t>塑料、织物</w:t>
            </w:r>
          </w:p>
        </w:tc>
        <w:tc>
          <w:tcPr>
            <w:tcW w:w="4463" w:type="dxa"/>
            <w:vAlign w:val="center"/>
          </w:tcPr>
          <w:p w14:paraId="62B4F457">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u w:val="none"/>
                <w:vertAlign w:val="baseline"/>
              </w:rPr>
            </w:pPr>
            <w:r>
              <w:rPr>
                <w:rFonts w:hint="eastAsia" w:ascii="仿宋_GB2312" w:hAnsi="仿宋_GB2312" w:eastAsia="仿宋_GB2312" w:cs="仿宋_GB2312"/>
                <w:color w:val="auto"/>
                <w:sz w:val="24"/>
                <w:szCs w:val="24"/>
                <w:u w:val="none"/>
                <w:vertAlign w:val="baseline"/>
              </w:rPr>
              <w:t>管线材、装修材料包装</w:t>
            </w:r>
          </w:p>
        </w:tc>
      </w:tr>
      <w:tr w14:paraId="1925BE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79" w:type="dxa"/>
            <w:vMerge w:val="continue"/>
            <w:vAlign w:val="center"/>
          </w:tcPr>
          <w:p w14:paraId="05FBE2E7">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u w:val="none"/>
                <w:vertAlign w:val="baseline"/>
              </w:rPr>
            </w:pPr>
          </w:p>
        </w:tc>
        <w:tc>
          <w:tcPr>
            <w:tcW w:w="2674" w:type="dxa"/>
            <w:vAlign w:val="center"/>
          </w:tcPr>
          <w:p w14:paraId="766C00BC">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u w:val="none"/>
                <w:vertAlign w:val="baseline"/>
              </w:rPr>
            </w:pPr>
            <w:r>
              <w:rPr>
                <w:rFonts w:hint="eastAsia" w:ascii="仿宋_GB2312" w:hAnsi="仿宋_GB2312" w:eastAsia="仿宋_GB2312" w:cs="仿宋_GB2312"/>
                <w:color w:val="auto"/>
                <w:sz w:val="24"/>
                <w:szCs w:val="24"/>
                <w:u w:val="none"/>
                <w:vertAlign w:val="baseline"/>
              </w:rPr>
              <w:t>纸板、纸屑</w:t>
            </w:r>
          </w:p>
        </w:tc>
        <w:tc>
          <w:tcPr>
            <w:tcW w:w="4463" w:type="dxa"/>
            <w:vAlign w:val="center"/>
          </w:tcPr>
          <w:p w14:paraId="0D3C60C2">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u w:val="none"/>
                <w:vertAlign w:val="baseline"/>
              </w:rPr>
            </w:pPr>
            <w:r>
              <w:rPr>
                <w:rFonts w:hint="eastAsia" w:ascii="仿宋_GB2312" w:hAnsi="仿宋_GB2312" w:eastAsia="仿宋_GB2312" w:cs="仿宋_GB2312"/>
                <w:color w:val="auto"/>
                <w:sz w:val="24"/>
                <w:szCs w:val="24"/>
                <w:u w:val="none"/>
                <w:vertAlign w:val="baseline"/>
              </w:rPr>
              <w:t>装修材料包装</w:t>
            </w:r>
          </w:p>
        </w:tc>
      </w:tr>
      <w:tr w14:paraId="0316A9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79" w:type="dxa"/>
            <w:vMerge w:val="continue"/>
            <w:vAlign w:val="center"/>
          </w:tcPr>
          <w:p w14:paraId="3D68BA83">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u w:val="none"/>
                <w:vertAlign w:val="baseline"/>
              </w:rPr>
            </w:pPr>
          </w:p>
        </w:tc>
        <w:tc>
          <w:tcPr>
            <w:tcW w:w="2674" w:type="dxa"/>
            <w:vAlign w:val="center"/>
          </w:tcPr>
          <w:p w14:paraId="0A26FADD">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u w:val="none"/>
                <w:vertAlign w:val="baseline"/>
              </w:rPr>
            </w:pPr>
            <w:r>
              <w:rPr>
                <w:rFonts w:hint="eastAsia" w:ascii="仿宋_GB2312" w:hAnsi="仿宋_GB2312" w:eastAsia="仿宋_GB2312" w:cs="仿宋_GB2312"/>
                <w:color w:val="auto"/>
                <w:sz w:val="24"/>
                <w:szCs w:val="24"/>
                <w:u w:val="none"/>
                <w:vertAlign w:val="baseline"/>
              </w:rPr>
              <w:t>混合类</w:t>
            </w:r>
          </w:p>
        </w:tc>
        <w:tc>
          <w:tcPr>
            <w:tcW w:w="4463" w:type="dxa"/>
            <w:vAlign w:val="center"/>
          </w:tcPr>
          <w:p w14:paraId="3A02A807">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u w:val="none"/>
                <w:vertAlign w:val="baseline"/>
              </w:rPr>
            </w:pPr>
            <w:r>
              <w:rPr>
                <w:rFonts w:hint="eastAsia" w:ascii="仿宋_GB2312" w:hAnsi="仿宋_GB2312" w:eastAsia="仿宋_GB2312" w:cs="仿宋_GB2312"/>
                <w:color w:val="auto"/>
                <w:sz w:val="24"/>
                <w:szCs w:val="24"/>
                <w:u w:val="none"/>
                <w:vertAlign w:val="baseline"/>
              </w:rPr>
              <w:t>无法在现场分类的无机非金属、金属、有机类垃圾的混合物</w:t>
            </w:r>
          </w:p>
        </w:tc>
      </w:tr>
    </w:tbl>
    <w:p w14:paraId="24CA49B9">
      <w:pPr>
        <w:pageBreakBefore w:val="0"/>
        <w:kinsoku/>
        <w:wordWrap/>
        <w:overflowPunct/>
        <w:topLinePunct w:val="0"/>
        <w:autoSpaceDE/>
        <w:autoSpaceDN/>
        <w:bidi w:val="0"/>
        <w:adjustRightInd/>
        <w:spacing w:beforeAutospacing="0" w:afterAutospacing="0" w:line="560" w:lineRule="exact"/>
        <w:ind w:left="0" w:leftChars="0"/>
        <w:textAlignment w:val="auto"/>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sz w:val="32"/>
          <w:szCs w:val="32"/>
          <w:lang w:val="en-US" w:eastAsia="zh-CN"/>
        </w:rPr>
        <w:t>④</w:t>
      </w:r>
      <w:r>
        <w:rPr>
          <w:rFonts w:hint="default" w:ascii="Times New Roman" w:hAnsi="Times New Roman" w:eastAsia="仿宋_GB2312" w:cs="Times New Roman"/>
          <w:color w:val="auto"/>
          <w:sz w:val="32"/>
          <w:szCs w:val="32"/>
          <w:u w:val="none"/>
          <w:lang w:val="en-US" w:eastAsia="zh-CN"/>
        </w:rPr>
        <w:t>装修现场应达到一级分类，可根据现场实际，实行一级和二级中某类并存分类。</w:t>
      </w:r>
    </w:p>
    <w:p w14:paraId="52F41B77">
      <w:pPr>
        <w:pageBreakBefore w:val="0"/>
        <w:kinsoku/>
        <w:wordWrap/>
        <w:overflowPunct/>
        <w:topLinePunct w:val="0"/>
        <w:autoSpaceDE/>
        <w:autoSpaceDN/>
        <w:bidi w:val="0"/>
        <w:adjustRightInd/>
        <w:spacing w:beforeAutospacing="0" w:afterAutospacing="0" w:line="560" w:lineRule="exact"/>
        <w:ind w:left="0" w:leftChars="0"/>
        <w:textAlignment w:val="auto"/>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eastAsia="zh-CN"/>
        </w:rPr>
        <w:t>⑤</w:t>
      </w:r>
      <w:r>
        <w:rPr>
          <w:rFonts w:hint="default" w:ascii="Times New Roman" w:hAnsi="Times New Roman" w:eastAsia="仿宋_GB2312" w:cs="Times New Roman"/>
          <w:color w:val="auto"/>
          <w:sz w:val="32"/>
          <w:szCs w:val="32"/>
          <w:u w:val="none"/>
          <w:lang w:val="en-US" w:eastAsia="zh-CN"/>
        </w:rPr>
        <w:t>二级分类中的混合类装修垃圾宜袋装后存放。</w:t>
      </w:r>
    </w:p>
    <w:p w14:paraId="274ECA10">
      <w:pPr>
        <w:pageBreakBefore w:val="0"/>
        <w:kinsoku/>
        <w:wordWrap/>
        <w:overflowPunct/>
        <w:topLinePunct w:val="0"/>
        <w:autoSpaceDE/>
        <w:autoSpaceDN/>
        <w:bidi w:val="0"/>
        <w:adjustRightInd/>
        <w:spacing w:beforeAutospacing="0" w:afterAutospacing="0" w:line="560" w:lineRule="exact"/>
        <w:ind w:left="0" w:leftChars="0"/>
        <w:textAlignment w:val="auto"/>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eastAsia="zh-CN"/>
        </w:rPr>
        <w:t>⑥</w:t>
      </w:r>
      <w:r>
        <w:rPr>
          <w:rFonts w:hint="default" w:ascii="Times New Roman" w:hAnsi="Times New Roman" w:eastAsia="仿宋_GB2312" w:cs="Times New Roman"/>
          <w:color w:val="auto"/>
          <w:sz w:val="32"/>
          <w:szCs w:val="32"/>
          <w:u w:val="none"/>
          <w:lang w:val="en-US" w:eastAsia="zh-CN"/>
        </w:rPr>
        <w:t>轻型墙体材料、石膏宜单独存放。</w:t>
      </w:r>
    </w:p>
    <w:p w14:paraId="7E7F4295">
      <w:pPr>
        <w:pageBreakBefore w:val="0"/>
        <w:kinsoku/>
        <w:wordWrap/>
        <w:overflowPunct/>
        <w:topLinePunct w:val="0"/>
        <w:autoSpaceDE/>
        <w:autoSpaceDN/>
        <w:bidi w:val="0"/>
        <w:adjustRightInd/>
        <w:spacing w:beforeAutospacing="0" w:afterAutospacing="0" w:line="560" w:lineRule="exact"/>
        <w:ind w:left="0" w:leftChars="0"/>
        <w:textAlignment w:val="auto"/>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val="en-US" w:eastAsia="zh-CN"/>
        </w:rPr>
        <w:t>⑦工程周边一定距离内具有任意二级类别垃圾回收利用设施的，宜将相应类别的垃圾单独收集。</w:t>
      </w:r>
    </w:p>
    <w:p w14:paraId="3FAC2497">
      <w:pPr>
        <w:pageBreakBefore w:val="0"/>
        <w:kinsoku/>
        <w:wordWrap/>
        <w:overflowPunct/>
        <w:topLinePunct w:val="0"/>
        <w:autoSpaceDE/>
        <w:autoSpaceDN/>
        <w:bidi w:val="0"/>
        <w:adjustRightInd/>
        <w:spacing w:beforeAutospacing="0" w:afterAutospacing="0" w:line="560" w:lineRule="exact"/>
        <w:ind w:left="0" w:leftChars="0"/>
        <w:textAlignment w:val="auto"/>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val="en-US" w:eastAsia="zh-CN"/>
        </w:rPr>
        <w:t>⑧装修垃圾产生现场可设置移动箱或中转分拣点。采用移动箱收集时，应至少根据一级分类要求设置多个移动箱；采用中转分拣点收集时，中转分拣点应按照一级分类要求设置独立的存放区域。</w:t>
      </w:r>
    </w:p>
    <w:p w14:paraId="3DCC0EED">
      <w:pPr>
        <w:pageBreakBefore w:val="0"/>
        <w:kinsoku/>
        <w:wordWrap/>
        <w:overflowPunct/>
        <w:topLinePunct w:val="0"/>
        <w:autoSpaceDE/>
        <w:autoSpaceDN/>
        <w:bidi w:val="0"/>
        <w:adjustRightInd/>
        <w:spacing w:beforeAutospacing="0" w:afterAutospacing="0" w:line="560" w:lineRule="exact"/>
        <w:ind w:left="0" w:leftChars="0"/>
        <w:textAlignment w:val="auto"/>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val="en-US" w:eastAsia="zh-CN"/>
        </w:rPr>
        <w:t>⑨移动箱应全封闭并可人工开启投放窗口，应具有防雨淋和防扬尘的功能。</w:t>
      </w:r>
    </w:p>
    <w:p w14:paraId="12129E82">
      <w:pPr>
        <w:pageBreakBefore w:val="0"/>
        <w:kinsoku/>
        <w:wordWrap/>
        <w:overflowPunct/>
        <w:topLinePunct w:val="0"/>
        <w:autoSpaceDE/>
        <w:autoSpaceDN/>
        <w:bidi w:val="0"/>
        <w:adjustRightInd/>
        <w:spacing w:beforeAutospacing="0" w:afterAutospacing="0" w:line="560" w:lineRule="exact"/>
        <w:ind w:left="0" w:leftChars="0"/>
        <w:textAlignment w:val="auto"/>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val="en-US" w:eastAsia="zh-CN"/>
        </w:rPr>
        <w:t>⑩无封闭或遮盖条件的中转分拣点，堆放场地应硬化，并应设置导排水设施，水应排入污水管网。</w:t>
      </w:r>
    </w:p>
    <w:p w14:paraId="6DB479C2">
      <w:pPr>
        <w:pageBreakBefore w:val="0"/>
        <w:kinsoku/>
        <w:wordWrap/>
        <w:overflowPunct/>
        <w:topLinePunct w:val="0"/>
        <w:autoSpaceDE/>
        <w:autoSpaceDN/>
        <w:bidi w:val="0"/>
        <w:adjustRightInd/>
        <w:spacing w:beforeAutospacing="0" w:afterAutospacing="0" w:line="560" w:lineRule="exact"/>
        <w:ind w:left="0" w:leftChars="0"/>
        <w:textAlignment w:val="auto"/>
        <w:rPr>
          <w:rFonts w:hint="default" w:ascii="Times New Roman" w:hAnsi="Times New Roman" w:eastAsia="仿宋_GB2312" w:cs="Times New Roman"/>
          <w:color w:val="auto"/>
          <w:sz w:val="32"/>
          <w:szCs w:val="32"/>
          <w:u w:val="none"/>
          <w:lang w:val="en-US" w:eastAsia="zh-CN"/>
        </w:rPr>
      </w:pPr>
      <w:r>
        <w:rPr>
          <w:rFonts w:hint="eastAsia" w:ascii="微软雅黑" w:hAnsi="微软雅黑" w:eastAsia="微软雅黑" w:cs="微软雅黑"/>
          <w:color w:val="auto"/>
          <w:sz w:val="32"/>
          <w:szCs w:val="32"/>
          <w:u w:val="none"/>
          <w:lang w:val="en-US" w:eastAsia="zh-CN"/>
        </w:rPr>
        <w:t>⑪</w:t>
      </w:r>
      <w:r>
        <w:rPr>
          <w:rFonts w:hint="default" w:ascii="Times New Roman" w:hAnsi="Times New Roman" w:eastAsia="仿宋_GB2312" w:cs="Times New Roman"/>
          <w:color w:val="auto"/>
          <w:sz w:val="32"/>
          <w:szCs w:val="32"/>
          <w:u w:val="none"/>
          <w:lang w:val="en-US" w:eastAsia="zh-CN"/>
        </w:rPr>
        <w:t>装修垃圾应随时转运，避免过量堆放。</w:t>
      </w:r>
    </w:p>
    <w:p w14:paraId="7E85CAE5">
      <w:pPr>
        <w:pageBreakBefore w:val="0"/>
        <w:kinsoku/>
        <w:wordWrap/>
        <w:overflowPunct/>
        <w:topLinePunct w:val="0"/>
        <w:autoSpaceDE/>
        <w:autoSpaceDN/>
        <w:bidi w:val="0"/>
        <w:adjustRightInd/>
        <w:spacing w:beforeAutospacing="0" w:afterAutospacing="0" w:line="560" w:lineRule="exact"/>
        <w:ind w:left="0" w:leftChars="0" w:firstLine="640" w:firstLineChars="200"/>
        <w:textAlignment w:val="auto"/>
        <w:rPr>
          <w:rFonts w:hint="default" w:ascii="Times New Roman" w:hAnsi="Times New Roman" w:eastAsia="仿宋_GB2312" w:cs="Times New Roman"/>
          <w:b w:val="0"/>
          <w:bCs w:val="0"/>
          <w:color w:val="auto"/>
          <w:sz w:val="32"/>
          <w:szCs w:val="32"/>
          <w:u w:val="none"/>
          <w:lang w:val="en-US" w:eastAsia="zh-CN"/>
        </w:rPr>
      </w:pPr>
      <w:r>
        <w:rPr>
          <w:rFonts w:hint="default" w:ascii="Times New Roman" w:hAnsi="Times New Roman" w:eastAsia="仿宋_GB2312" w:cs="Times New Roman"/>
          <w:b w:val="0"/>
          <w:bCs w:val="0"/>
          <w:color w:val="auto"/>
          <w:sz w:val="32"/>
          <w:szCs w:val="32"/>
          <w:u w:val="none"/>
          <w:lang w:val="en-US" w:eastAsia="zh-CN"/>
        </w:rPr>
        <w:t>2</w:t>
      </w:r>
      <w:r>
        <w:rPr>
          <w:rFonts w:hint="eastAsia" w:ascii="Times New Roman" w:hAnsi="Times New Roman" w:eastAsia="仿宋_GB2312" w:cs="Times New Roman"/>
          <w:b w:val="0"/>
          <w:bCs w:val="0"/>
          <w:color w:val="auto"/>
          <w:sz w:val="32"/>
          <w:szCs w:val="32"/>
          <w:u w:val="none"/>
          <w:lang w:val="en-US" w:eastAsia="zh-CN"/>
        </w:rPr>
        <w:t>．</w:t>
      </w:r>
      <w:r>
        <w:rPr>
          <w:rFonts w:hint="default" w:ascii="Times New Roman" w:hAnsi="Times New Roman" w:eastAsia="仿宋_GB2312" w:cs="Times New Roman"/>
          <w:b w:val="0"/>
          <w:bCs w:val="0"/>
          <w:color w:val="auto"/>
          <w:sz w:val="32"/>
          <w:szCs w:val="32"/>
          <w:u w:val="none"/>
          <w:lang w:val="en-US" w:eastAsia="zh-CN"/>
        </w:rPr>
        <w:t>建筑垃圾运输作业</w:t>
      </w:r>
    </w:p>
    <w:p w14:paraId="1B58C3C4">
      <w:pPr>
        <w:pageBreakBefore w:val="0"/>
        <w:kinsoku/>
        <w:wordWrap/>
        <w:overflowPunct/>
        <w:topLinePunct w:val="0"/>
        <w:autoSpaceDE/>
        <w:autoSpaceDN/>
        <w:bidi w:val="0"/>
        <w:adjustRightInd/>
        <w:spacing w:beforeAutospacing="0" w:afterAutospacing="0" w:line="560" w:lineRule="exact"/>
        <w:ind w:left="0" w:leftChars="0"/>
        <w:textAlignment w:val="auto"/>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sz w:val="32"/>
          <w:szCs w:val="32"/>
          <w:highlight w:val="none"/>
          <w:lang w:val="en-US" w:eastAsia="zh-CN"/>
        </w:rPr>
        <w:t>①</w:t>
      </w:r>
      <w:r>
        <w:rPr>
          <w:rFonts w:hint="default" w:ascii="Times New Roman" w:hAnsi="Times New Roman" w:eastAsia="仿宋_GB2312" w:cs="Times New Roman"/>
          <w:color w:val="auto"/>
          <w:sz w:val="32"/>
          <w:szCs w:val="32"/>
          <w:highlight w:val="none"/>
          <w:u w:val="none"/>
        </w:rPr>
        <w:t>建筑垃圾运输实行准入制度。建筑垃圾运输单位应当按照规定持相关材料向</w:t>
      </w:r>
      <w:r>
        <w:rPr>
          <w:rFonts w:hint="default" w:ascii="Times New Roman" w:hAnsi="Times New Roman" w:eastAsia="仿宋_GB2312" w:cs="Times New Roman"/>
          <w:color w:val="auto"/>
          <w:sz w:val="32"/>
          <w:szCs w:val="32"/>
          <w:highlight w:val="none"/>
          <w:u w:val="none"/>
          <w:lang w:eastAsia="zh-CN"/>
        </w:rPr>
        <w:t>行政主管部门</w:t>
      </w:r>
      <w:r>
        <w:rPr>
          <w:rFonts w:hint="default" w:ascii="Times New Roman" w:hAnsi="Times New Roman" w:eastAsia="仿宋_GB2312" w:cs="Times New Roman"/>
          <w:color w:val="auto"/>
          <w:sz w:val="32"/>
          <w:szCs w:val="32"/>
          <w:highlight w:val="none"/>
          <w:u w:val="none"/>
        </w:rPr>
        <w:t>申请办理《建筑垃圾处置（运输）许可证》，符合法定要求的，核发《建筑垃圾处置（运输）许可证》，未取得《建筑垃圾处置（运输）许可证》的，不得在</w:t>
      </w:r>
      <w:r>
        <w:rPr>
          <w:rFonts w:hint="default" w:ascii="Times New Roman" w:hAnsi="Times New Roman" w:eastAsia="仿宋_GB2312" w:cs="Times New Roman"/>
          <w:color w:val="auto"/>
          <w:sz w:val="32"/>
          <w:szCs w:val="32"/>
          <w:highlight w:val="none"/>
          <w:u w:val="none"/>
          <w:lang w:val="en-US" w:eastAsia="zh-CN"/>
        </w:rPr>
        <w:t>本县</w:t>
      </w:r>
      <w:r>
        <w:rPr>
          <w:rFonts w:hint="default" w:ascii="Times New Roman" w:hAnsi="Times New Roman" w:eastAsia="仿宋_GB2312" w:cs="Times New Roman"/>
          <w:color w:val="auto"/>
          <w:sz w:val="32"/>
          <w:szCs w:val="32"/>
          <w:highlight w:val="none"/>
          <w:u w:val="none"/>
        </w:rPr>
        <w:t>区域内从事建筑垃圾运输活动。</w:t>
      </w:r>
    </w:p>
    <w:p w14:paraId="5ACF9EEE">
      <w:pPr>
        <w:pageBreakBefore w:val="0"/>
        <w:kinsoku/>
        <w:wordWrap/>
        <w:overflowPunct/>
        <w:topLinePunct w:val="0"/>
        <w:autoSpaceDE/>
        <w:autoSpaceDN/>
        <w:bidi w:val="0"/>
        <w:adjustRightInd/>
        <w:spacing w:beforeAutospacing="0" w:afterAutospacing="0" w:line="560" w:lineRule="exact"/>
        <w:ind w:left="0" w:leftChars="0"/>
        <w:textAlignment w:val="auto"/>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sz w:val="32"/>
          <w:szCs w:val="32"/>
          <w:highlight w:val="none"/>
          <w:lang w:val="en-US" w:eastAsia="zh-CN"/>
        </w:rPr>
        <w:t>②</w:t>
      </w:r>
      <w:r>
        <w:rPr>
          <w:rFonts w:hint="default" w:ascii="Times New Roman" w:hAnsi="Times New Roman" w:eastAsia="仿宋_GB2312" w:cs="Times New Roman"/>
          <w:color w:val="auto"/>
          <w:sz w:val="32"/>
          <w:szCs w:val="32"/>
          <w:highlight w:val="none"/>
          <w:u w:val="none"/>
          <w:lang w:val="en-US" w:eastAsia="zh-CN"/>
        </w:rPr>
        <w:t>运输车辆须保持整洁、密闭装载，不得沿途泄漏、遗撒，不得超载运输，禁止车轮、车厢外侧带泥行驶。</w:t>
      </w:r>
    </w:p>
    <w:p w14:paraId="5BE72815">
      <w:pPr>
        <w:pageBreakBefore w:val="0"/>
        <w:kinsoku/>
        <w:wordWrap/>
        <w:overflowPunct/>
        <w:topLinePunct w:val="0"/>
        <w:autoSpaceDE/>
        <w:autoSpaceDN/>
        <w:bidi w:val="0"/>
        <w:adjustRightInd/>
        <w:spacing w:beforeAutospacing="0" w:afterAutospacing="0" w:line="560" w:lineRule="exact"/>
        <w:ind w:left="0" w:leftChars="0"/>
        <w:textAlignment w:val="auto"/>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sz w:val="32"/>
          <w:szCs w:val="32"/>
          <w:highlight w:val="none"/>
          <w:lang w:val="en-US" w:eastAsia="zh-CN"/>
        </w:rPr>
        <w:t>③</w:t>
      </w:r>
      <w:r>
        <w:rPr>
          <w:rFonts w:hint="default" w:ascii="Times New Roman" w:hAnsi="Times New Roman" w:eastAsia="仿宋_GB2312" w:cs="Times New Roman"/>
          <w:color w:val="auto"/>
          <w:sz w:val="32"/>
          <w:szCs w:val="32"/>
          <w:highlight w:val="none"/>
          <w:u w:val="none"/>
          <w:lang w:val="en-US" w:eastAsia="zh-CN"/>
        </w:rPr>
        <w:t>上路行驶的建筑垃圾运输车辆必须遵守道路交通法律法规；随车携带城市建筑垃圾准运证件，承运经批准排放的建筑垃圾。</w:t>
      </w:r>
    </w:p>
    <w:p w14:paraId="16DEB83A">
      <w:pPr>
        <w:pageBreakBefore w:val="0"/>
        <w:kinsoku/>
        <w:wordWrap/>
        <w:overflowPunct/>
        <w:topLinePunct w:val="0"/>
        <w:autoSpaceDE/>
        <w:autoSpaceDN/>
        <w:bidi w:val="0"/>
        <w:adjustRightInd/>
        <w:spacing w:beforeAutospacing="0" w:afterAutospacing="0" w:line="560" w:lineRule="exact"/>
        <w:ind w:left="0" w:leftChars="0"/>
        <w:textAlignment w:val="auto"/>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sz w:val="32"/>
          <w:szCs w:val="32"/>
          <w:lang w:val="en-US" w:eastAsia="zh-CN"/>
        </w:rPr>
        <w:t>④</w:t>
      </w:r>
      <w:r>
        <w:rPr>
          <w:rFonts w:hint="default" w:ascii="Times New Roman" w:hAnsi="Times New Roman" w:eastAsia="仿宋_GB2312" w:cs="Times New Roman"/>
          <w:color w:val="auto"/>
          <w:sz w:val="32"/>
          <w:szCs w:val="32"/>
          <w:highlight w:val="none"/>
          <w:u w:val="none"/>
          <w:lang w:val="en-US" w:eastAsia="zh-CN"/>
        </w:rPr>
        <w:t>车辆按有关职能部门核准的时间、路线行驶，未经批准，严禁在其他时间、路线运输建筑垃圾。</w:t>
      </w:r>
    </w:p>
    <w:p w14:paraId="55C37E85">
      <w:pPr>
        <w:pageBreakBefore w:val="0"/>
        <w:kinsoku/>
        <w:wordWrap/>
        <w:overflowPunct/>
        <w:topLinePunct w:val="0"/>
        <w:autoSpaceDE/>
        <w:autoSpaceDN/>
        <w:bidi w:val="0"/>
        <w:adjustRightInd/>
        <w:spacing w:beforeAutospacing="0" w:afterAutospacing="0" w:line="560" w:lineRule="exact"/>
        <w:ind w:left="0" w:leftChars="0"/>
        <w:textAlignment w:val="auto"/>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color w:val="auto"/>
          <w:sz w:val="32"/>
          <w:szCs w:val="32"/>
          <w:u w:val="none"/>
          <w:lang w:eastAsia="zh-CN"/>
        </w:rPr>
        <w:t>⑤</w:t>
      </w:r>
      <w:r>
        <w:rPr>
          <w:rFonts w:hint="default" w:ascii="Times New Roman" w:hAnsi="Times New Roman" w:eastAsia="仿宋_GB2312" w:cs="Times New Roman"/>
          <w:color w:val="auto"/>
          <w:sz w:val="32"/>
          <w:szCs w:val="32"/>
          <w:highlight w:val="none"/>
          <w:u w:val="none"/>
          <w:lang w:val="en-US" w:eastAsia="zh-CN"/>
        </w:rPr>
        <w:t>根据建筑垃圾不同分类运输至指定处理场地；建筑垃圾应当运输至经登记的消纳场所或综合利用场地，严禁运输过程中随意倾倒、抛撒或者堆放。</w:t>
      </w:r>
    </w:p>
    <w:p w14:paraId="5984775A">
      <w:pPr>
        <w:pageBreakBefore w:val="0"/>
        <w:kinsoku/>
        <w:wordWrap/>
        <w:overflowPunct/>
        <w:topLinePunct w:val="0"/>
        <w:autoSpaceDE/>
        <w:autoSpaceDN/>
        <w:bidi w:val="0"/>
        <w:adjustRightInd/>
        <w:spacing w:beforeAutospacing="0" w:afterAutospacing="0" w:line="560" w:lineRule="exact"/>
        <w:ind w:left="0" w:leftChars="0"/>
        <w:textAlignment w:val="auto"/>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color w:val="auto"/>
          <w:sz w:val="32"/>
          <w:szCs w:val="32"/>
          <w:u w:val="none"/>
          <w:lang w:eastAsia="zh-CN"/>
        </w:rPr>
        <w:t>⑥</w:t>
      </w:r>
      <w:r>
        <w:rPr>
          <w:rFonts w:hint="default" w:ascii="Times New Roman" w:hAnsi="Times New Roman" w:eastAsia="仿宋_GB2312" w:cs="Times New Roman"/>
          <w:color w:val="auto"/>
          <w:sz w:val="32"/>
          <w:szCs w:val="32"/>
          <w:highlight w:val="none"/>
          <w:u w:val="none"/>
          <w:lang w:val="en-US" w:eastAsia="zh-CN"/>
        </w:rPr>
        <w:t>建筑垃圾清运单位应在清运时间内，自行或采取其他方式做好车辆沿途线路的污染清理、保洁工作。</w:t>
      </w:r>
    </w:p>
    <w:p w14:paraId="073971F6">
      <w:pPr>
        <w:pageBreakBefore w:val="0"/>
        <w:kinsoku/>
        <w:wordWrap/>
        <w:overflowPunct/>
        <w:topLinePunct w:val="0"/>
        <w:autoSpaceDE/>
        <w:autoSpaceDN/>
        <w:bidi w:val="0"/>
        <w:adjustRightInd/>
        <w:spacing w:beforeAutospacing="0" w:afterAutospacing="0" w:line="560" w:lineRule="exact"/>
        <w:ind w:left="0" w:leftChars="0"/>
        <w:textAlignment w:val="auto"/>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color w:val="auto"/>
          <w:sz w:val="32"/>
          <w:szCs w:val="32"/>
          <w:u w:val="none"/>
          <w:lang w:val="en-US" w:eastAsia="zh-CN"/>
        </w:rPr>
        <w:t>⑦</w:t>
      </w:r>
      <w:r>
        <w:rPr>
          <w:rFonts w:hint="default" w:ascii="Times New Roman" w:hAnsi="Times New Roman" w:eastAsia="仿宋_GB2312" w:cs="Times New Roman"/>
          <w:color w:val="auto"/>
          <w:sz w:val="32"/>
          <w:szCs w:val="32"/>
          <w:highlight w:val="none"/>
          <w:u w:val="none"/>
          <w:lang w:val="en-US" w:eastAsia="zh-CN"/>
        </w:rPr>
        <w:t>建立多联单制度，记录完整的多单会签信息并存档。</w:t>
      </w:r>
    </w:p>
    <w:p w14:paraId="1D86C6EC">
      <w:pPr>
        <w:pStyle w:val="3"/>
        <w:pageBreakBefore w:val="0"/>
        <w:kinsoku/>
        <w:wordWrap/>
        <w:overflowPunct/>
        <w:topLinePunct w:val="0"/>
        <w:autoSpaceDE/>
        <w:autoSpaceDN/>
        <w:bidi w:val="0"/>
        <w:adjustRightInd/>
        <w:spacing w:beforeAutospacing="0" w:afterAutospacing="0" w:line="560" w:lineRule="exact"/>
        <w:ind w:left="0" w:leftChars="0" w:firstLine="640" w:firstLineChars="200"/>
        <w:textAlignment w:val="auto"/>
        <w:rPr>
          <w:rFonts w:hint="eastAsia" w:ascii="楷体_GB2312" w:hAnsi="楷体_GB2312" w:eastAsia="楷体_GB2312" w:cs="楷体_GB2312"/>
          <w:b w:val="0"/>
          <w:bCs w:val="0"/>
          <w:color w:val="auto"/>
          <w:sz w:val="32"/>
          <w:szCs w:val="32"/>
          <w:highlight w:val="none"/>
          <w:u w:val="none"/>
          <w:lang w:val="en-US" w:eastAsia="zh-CN"/>
        </w:rPr>
      </w:pPr>
      <w:bookmarkStart w:id="63" w:name="_Toc24669"/>
      <w:bookmarkStart w:id="64" w:name="_Toc31928"/>
      <w:bookmarkStart w:id="65" w:name="_Toc26982"/>
      <w:r>
        <w:rPr>
          <w:rFonts w:hint="eastAsia" w:ascii="楷体_GB2312" w:hAnsi="楷体_GB2312" w:eastAsia="楷体_GB2312" w:cs="楷体_GB2312"/>
          <w:b w:val="0"/>
          <w:bCs w:val="0"/>
          <w:color w:val="auto"/>
          <w:sz w:val="32"/>
          <w:szCs w:val="32"/>
          <w:u w:val="none"/>
          <w:lang w:val="en-US" w:eastAsia="zh-CN"/>
        </w:rPr>
        <w:t>（二）</w:t>
      </w:r>
      <w:r>
        <w:rPr>
          <w:rFonts w:hint="eastAsia" w:ascii="楷体_GB2312" w:hAnsi="楷体_GB2312" w:eastAsia="楷体_GB2312" w:cs="楷体_GB2312"/>
          <w:b w:val="0"/>
          <w:bCs w:val="0"/>
          <w:color w:val="auto"/>
          <w:sz w:val="32"/>
          <w:szCs w:val="32"/>
          <w:highlight w:val="none"/>
          <w:u w:val="none"/>
          <w:lang w:val="en-US" w:eastAsia="zh-CN"/>
        </w:rPr>
        <w:t>收运设施设备</w:t>
      </w:r>
      <w:bookmarkEnd w:id="63"/>
      <w:bookmarkEnd w:id="64"/>
      <w:bookmarkEnd w:id="65"/>
    </w:p>
    <w:p w14:paraId="68A7080F">
      <w:pPr>
        <w:pageBreakBefore w:val="0"/>
        <w:kinsoku/>
        <w:wordWrap/>
        <w:overflowPunct/>
        <w:topLinePunct w:val="0"/>
        <w:autoSpaceDE/>
        <w:autoSpaceDN/>
        <w:bidi w:val="0"/>
        <w:adjustRightInd/>
        <w:spacing w:beforeAutospacing="0" w:afterAutospacing="0" w:line="560" w:lineRule="exact"/>
        <w:ind w:left="0" w:leftChars="0"/>
        <w:textAlignment w:val="auto"/>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color w:val="auto"/>
          <w:sz w:val="32"/>
          <w:szCs w:val="32"/>
          <w:highlight w:val="none"/>
          <w:u w:val="none"/>
          <w:lang w:val="en-US" w:eastAsia="zh-CN"/>
        </w:rPr>
        <w:t>建筑垃圾收运设施主要含建筑垃圾临时收集点、装修垃圾集中投放点、建筑垃圾转运调配场，收运设备主要为建筑垃圾的运输车辆。</w:t>
      </w:r>
    </w:p>
    <w:p w14:paraId="67C8848D">
      <w:pPr>
        <w:pageBreakBefore w:val="0"/>
        <w:kinsoku/>
        <w:wordWrap/>
        <w:overflowPunct/>
        <w:topLinePunct w:val="0"/>
        <w:autoSpaceDE/>
        <w:autoSpaceDN/>
        <w:bidi w:val="0"/>
        <w:adjustRightInd/>
        <w:spacing w:beforeAutospacing="0" w:afterAutospacing="0" w:line="560" w:lineRule="exact"/>
        <w:ind w:left="0" w:leftChars="0" w:firstLine="640" w:firstLineChars="200"/>
        <w:textAlignment w:val="auto"/>
        <w:rPr>
          <w:rFonts w:hint="default" w:ascii="Times New Roman" w:hAnsi="Times New Roman" w:eastAsia="仿宋_GB2312" w:cs="Times New Roman"/>
          <w:b w:val="0"/>
          <w:bCs w:val="0"/>
          <w:color w:val="auto"/>
          <w:sz w:val="32"/>
          <w:szCs w:val="32"/>
          <w:highlight w:val="none"/>
          <w:u w:val="none"/>
          <w:lang w:val="en-US" w:eastAsia="zh-CN"/>
        </w:rPr>
      </w:pPr>
      <w:r>
        <w:rPr>
          <w:rFonts w:hint="default" w:ascii="Times New Roman" w:hAnsi="Times New Roman" w:eastAsia="仿宋_GB2312" w:cs="Times New Roman"/>
          <w:b w:val="0"/>
          <w:bCs w:val="0"/>
          <w:color w:val="auto"/>
          <w:sz w:val="32"/>
          <w:szCs w:val="32"/>
          <w:highlight w:val="none"/>
          <w:u w:val="none"/>
          <w:lang w:val="en-US" w:eastAsia="zh-CN"/>
        </w:rPr>
        <w:t>1</w:t>
      </w:r>
      <w:r>
        <w:rPr>
          <w:rFonts w:hint="eastAsia" w:ascii="Times New Roman" w:hAnsi="Times New Roman" w:eastAsia="仿宋_GB2312" w:cs="Times New Roman"/>
          <w:b w:val="0"/>
          <w:bCs w:val="0"/>
          <w:color w:val="auto"/>
          <w:sz w:val="32"/>
          <w:szCs w:val="32"/>
          <w:highlight w:val="none"/>
          <w:u w:val="none"/>
          <w:lang w:val="en-US" w:eastAsia="zh-CN"/>
        </w:rPr>
        <w:t>．</w:t>
      </w:r>
      <w:r>
        <w:rPr>
          <w:rFonts w:hint="default" w:ascii="Times New Roman" w:hAnsi="Times New Roman" w:eastAsia="仿宋_GB2312" w:cs="Times New Roman"/>
          <w:b w:val="0"/>
          <w:bCs w:val="0"/>
          <w:color w:val="auto"/>
          <w:sz w:val="32"/>
          <w:szCs w:val="32"/>
          <w:highlight w:val="none"/>
          <w:u w:val="none"/>
          <w:lang w:val="en-US" w:eastAsia="zh-CN"/>
        </w:rPr>
        <w:t>建筑垃圾临时收集点</w:t>
      </w:r>
    </w:p>
    <w:p w14:paraId="738CCB09">
      <w:pPr>
        <w:pageBreakBefore w:val="0"/>
        <w:kinsoku/>
        <w:wordWrap/>
        <w:overflowPunct/>
        <w:topLinePunct w:val="0"/>
        <w:autoSpaceDE/>
        <w:autoSpaceDN/>
        <w:bidi w:val="0"/>
        <w:adjustRightInd/>
        <w:spacing w:beforeAutospacing="0" w:afterAutospacing="0" w:line="560" w:lineRule="exact"/>
        <w:ind w:left="0" w:leftChars="0" w:firstLine="640" w:firstLineChars="200"/>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每个新建公用区域的临时收集点可在工地临时设置。用地面积需在30平方米以上，场地平整并硬质化，装卸垃圾时应洒水降尘。建设工程的实施主体应将建筑垃圾进行分类装袋捆扎，堆放到指定的临时堆放点，定期联系经核准的清运公司将建筑垃圾外运处置。</w:t>
      </w:r>
    </w:p>
    <w:p w14:paraId="7AA25489">
      <w:pPr>
        <w:pageBreakBefore w:val="0"/>
        <w:kinsoku/>
        <w:wordWrap/>
        <w:overflowPunct/>
        <w:topLinePunct w:val="0"/>
        <w:autoSpaceDE/>
        <w:autoSpaceDN/>
        <w:bidi w:val="0"/>
        <w:adjustRightInd/>
        <w:spacing w:beforeAutospacing="0" w:afterAutospacing="0" w:line="560" w:lineRule="exact"/>
        <w:ind w:left="0" w:leftChars="0" w:firstLine="640" w:firstLineChars="200"/>
        <w:textAlignment w:val="auto"/>
        <w:rPr>
          <w:rFonts w:hint="default" w:ascii="Times New Roman" w:hAnsi="Times New Roman" w:eastAsia="仿宋_GB2312" w:cs="Times New Roman"/>
          <w:b w:val="0"/>
          <w:bCs w:val="0"/>
          <w:color w:val="auto"/>
          <w:sz w:val="32"/>
          <w:szCs w:val="32"/>
          <w:highlight w:val="none"/>
          <w:u w:val="none"/>
          <w:lang w:val="en-US" w:eastAsia="zh-CN"/>
        </w:rPr>
      </w:pPr>
      <w:r>
        <w:rPr>
          <w:rFonts w:hint="default" w:ascii="Times New Roman" w:hAnsi="Times New Roman" w:eastAsia="仿宋_GB2312" w:cs="Times New Roman"/>
          <w:sz w:val="32"/>
          <w:szCs w:val="32"/>
          <w:highlight w:val="none"/>
        </w:rPr>
        <w:t>建筑垃圾产生量和类型，因建筑工地类型不同、项目规模不同、施工阶段不同，产生的垃圾类型和数量也不尽相同。每个建筑工地都应当在其作业区根据工地项目的实际情况，合理规划建筑垃圾分类堆放点</w:t>
      </w:r>
      <w:r>
        <w:rPr>
          <w:rFonts w:hint="default" w:ascii="Times New Roman" w:hAnsi="Times New Roman" w:eastAsia="仿宋_GB2312" w:cs="Times New Roman"/>
          <w:sz w:val="32"/>
          <w:szCs w:val="32"/>
          <w:highlight w:val="none"/>
          <w:lang w:eastAsia="zh-CN"/>
        </w:rPr>
        <w:t>。</w:t>
      </w:r>
    </w:p>
    <w:p w14:paraId="63F89D87">
      <w:pPr>
        <w:pageBreakBefore w:val="0"/>
        <w:kinsoku/>
        <w:wordWrap/>
        <w:overflowPunct/>
        <w:topLinePunct w:val="0"/>
        <w:autoSpaceDE/>
        <w:autoSpaceDN/>
        <w:bidi w:val="0"/>
        <w:adjustRightInd/>
        <w:spacing w:beforeAutospacing="0" w:afterAutospacing="0" w:line="560" w:lineRule="exact"/>
        <w:ind w:left="0" w:leftChars="0" w:firstLine="640" w:firstLineChars="200"/>
        <w:textAlignment w:val="auto"/>
        <w:rPr>
          <w:rFonts w:hint="default" w:ascii="Times New Roman" w:hAnsi="Times New Roman" w:eastAsia="仿宋_GB2312" w:cs="Times New Roman"/>
          <w:b w:val="0"/>
          <w:bCs w:val="0"/>
          <w:color w:val="auto"/>
          <w:sz w:val="32"/>
          <w:szCs w:val="32"/>
          <w:highlight w:val="none"/>
          <w:u w:val="none"/>
          <w:lang w:val="en-US" w:eastAsia="zh-CN"/>
        </w:rPr>
      </w:pPr>
      <w:r>
        <w:rPr>
          <w:rFonts w:hint="default" w:ascii="Times New Roman" w:hAnsi="Times New Roman" w:eastAsia="仿宋_GB2312" w:cs="Times New Roman"/>
          <w:b w:val="0"/>
          <w:bCs w:val="0"/>
          <w:color w:val="auto"/>
          <w:sz w:val="32"/>
          <w:szCs w:val="32"/>
          <w:highlight w:val="none"/>
          <w:u w:val="none"/>
          <w:lang w:val="en-US" w:eastAsia="zh-CN"/>
        </w:rPr>
        <w:t>2</w:t>
      </w:r>
      <w:r>
        <w:rPr>
          <w:rFonts w:hint="eastAsia" w:ascii="Times New Roman" w:hAnsi="Times New Roman" w:eastAsia="仿宋_GB2312" w:cs="Times New Roman"/>
          <w:b w:val="0"/>
          <w:bCs w:val="0"/>
          <w:color w:val="auto"/>
          <w:sz w:val="32"/>
          <w:szCs w:val="32"/>
          <w:highlight w:val="none"/>
          <w:u w:val="none"/>
          <w:lang w:val="en-US" w:eastAsia="zh-CN"/>
        </w:rPr>
        <w:t>．</w:t>
      </w:r>
      <w:r>
        <w:rPr>
          <w:rFonts w:hint="default" w:ascii="Times New Roman" w:hAnsi="Times New Roman" w:eastAsia="仿宋_GB2312" w:cs="Times New Roman"/>
          <w:b w:val="0"/>
          <w:bCs w:val="0"/>
          <w:color w:val="auto"/>
          <w:sz w:val="32"/>
          <w:szCs w:val="32"/>
          <w:highlight w:val="none"/>
          <w:u w:val="none"/>
          <w:lang w:val="en-US" w:eastAsia="zh-CN"/>
        </w:rPr>
        <w:t>装修垃圾指定投放点</w:t>
      </w:r>
    </w:p>
    <w:p w14:paraId="770ED1C8">
      <w:pPr>
        <w:pageBreakBefore w:val="0"/>
        <w:kinsoku/>
        <w:wordWrap/>
        <w:overflowPunct/>
        <w:topLinePunct w:val="0"/>
        <w:autoSpaceDE/>
        <w:autoSpaceDN/>
        <w:bidi w:val="0"/>
        <w:adjustRightInd/>
        <w:spacing w:beforeAutospacing="0" w:afterAutospacing="0" w:line="560" w:lineRule="exact"/>
        <w:ind w:left="0" w:leftChars="0"/>
        <w:textAlignment w:val="auto"/>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color w:val="auto"/>
          <w:sz w:val="32"/>
          <w:szCs w:val="32"/>
          <w:highlight w:val="none"/>
          <w:u w:val="none"/>
          <w:lang w:val="en-US" w:eastAsia="zh-CN"/>
        </w:rPr>
        <w:t>装修垃圾指定投放点为装修垃圾的前端收集设施，用于居民在建造、装饰、维修和拆除房屋过程中产生的建筑垃圾的集中收集和临时堆放，从而有利于装修垃圾集中运往建筑垃圾调配场、消纳场和终端处理设施。</w:t>
      </w:r>
    </w:p>
    <w:p w14:paraId="5A937EC3">
      <w:pPr>
        <w:pageBreakBefore w:val="0"/>
        <w:kinsoku/>
        <w:wordWrap/>
        <w:overflowPunct/>
        <w:topLinePunct w:val="0"/>
        <w:autoSpaceDE/>
        <w:autoSpaceDN/>
        <w:bidi w:val="0"/>
        <w:adjustRightInd/>
        <w:spacing w:beforeAutospacing="0" w:afterAutospacing="0" w:line="560" w:lineRule="exact"/>
        <w:ind w:left="0" w:leftChars="0"/>
        <w:textAlignment w:val="auto"/>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color w:val="auto"/>
          <w:sz w:val="32"/>
          <w:szCs w:val="32"/>
          <w:highlight w:val="none"/>
          <w:u w:val="none"/>
          <w:lang w:val="en-US" w:eastAsia="zh-CN"/>
        </w:rPr>
        <w:t>布置原则。按照</w:t>
      </w:r>
      <w:r>
        <w:rPr>
          <w:rFonts w:hint="eastAsia" w:ascii="仿宋_GB2312" w:hAnsi="仿宋_GB2312" w:eastAsia="仿宋_GB2312" w:cs="仿宋_GB2312"/>
          <w:color w:val="auto"/>
          <w:sz w:val="32"/>
          <w:szCs w:val="32"/>
          <w:highlight w:val="none"/>
          <w:u w:val="none"/>
          <w:lang w:val="en-US" w:eastAsia="zh-CN"/>
        </w:rPr>
        <w:t>“</w:t>
      </w:r>
      <w:r>
        <w:rPr>
          <w:rFonts w:hint="default" w:ascii="Times New Roman" w:hAnsi="Times New Roman" w:eastAsia="仿宋_GB2312" w:cs="Times New Roman"/>
          <w:color w:val="auto"/>
          <w:sz w:val="32"/>
          <w:szCs w:val="32"/>
          <w:highlight w:val="none"/>
          <w:u w:val="none"/>
          <w:lang w:val="en-US" w:eastAsia="zh-CN"/>
        </w:rPr>
        <w:t>交通便利，堆放安全、收运有效</w:t>
      </w:r>
      <w:r>
        <w:rPr>
          <w:rFonts w:hint="eastAsia" w:ascii="仿宋_GB2312" w:hAnsi="仿宋_GB2312" w:eastAsia="仿宋_GB2312" w:cs="仿宋_GB2312"/>
          <w:color w:val="auto"/>
          <w:sz w:val="32"/>
          <w:szCs w:val="32"/>
          <w:highlight w:val="none"/>
          <w:u w:val="none"/>
          <w:lang w:val="en-US" w:eastAsia="zh-CN"/>
        </w:rPr>
        <w:t>”</w:t>
      </w:r>
      <w:r>
        <w:rPr>
          <w:rFonts w:hint="default" w:ascii="Times New Roman" w:hAnsi="Times New Roman" w:eastAsia="仿宋_GB2312" w:cs="Times New Roman"/>
          <w:color w:val="auto"/>
          <w:sz w:val="32"/>
          <w:szCs w:val="32"/>
          <w:highlight w:val="none"/>
          <w:u w:val="none"/>
          <w:lang w:val="en-US" w:eastAsia="zh-CN"/>
        </w:rPr>
        <w:t>的原则，合理布局装修垃圾投放点。</w:t>
      </w:r>
    </w:p>
    <w:p w14:paraId="5AE9C001">
      <w:pPr>
        <w:pageBreakBefore w:val="0"/>
        <w:kinsoku/>
        <w:wordWrap/>
        <w:overflowPunct/>
        <w:topLinePunct w:val="0"/>
        <w:autoSpaceDE/>
        <w:autoSpaceDN/>
        <w:bidi w:val="0"/>
        <w:adjustRightInd/>
        <w:spacing w:beforeAutospacing="0" w:afterAutospacing="0" w:line="560" w:lineRule="exact"/>
        <w:ind w:left="0" w:leftChars="0"/>
        <w:textAlignment w:val="auto"/>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b w:val="0"/>
          <w:bCs w:val="0"/>
          <w:color w:val="auto"/>
          <w:sz w:val="32"/>
          <w:szCs w:val="32"/>
          <w:highlight w:val="none"/>
          <w:u w:val="none"/>
          <w:lang w:val="en-US" w:eastAsia="zh-CN"/>
        </w:rPr>
        <w:t>用地面积与规模类型。</w:t>
      </w:r>
      <w:r>
        <w:rPr>
          <w:rFonts w:hint="default" w:ascii="Times New Roman" w:hAnsi="Times New Roman" w:eastAsia="仿宋_GB2312" w:cs="Times New Roman"/>
          <w:color w:val="auto"/>
          <w:sz w:val="32"/>
          <w:szCs w:val="32"/>
          <w:highlight w:val="none"/>
          <w:u w:val="none"/>
          <w:lang w:val="en-US" w:eastAsia="zh-CN"/>
        </w:rPr>
        <w:t>装修垃圾指定投放点用地根据居民户数、居住区物业等情况制定。新建居住小区原则上应设置装修垃圾指定投放点，可结合居住区内的生活垃圾收集点联合设置。公用区域装修的垃圾投放点可在工地临时设置。不具备设置指定投放点的装修垃圾，由主管部门设置</w:t>
      </w:r>
      <w:r>
        <w:rPr>
          <w:rFonts w:hint="default" w:ascii="Times New Roman" w:hAnsi="Times New Roman" w:eastAsia="仿宋_GB2312" w:cs="Times New Roman"/>
          <w:color w:val="auto"/>
          <w:sz w:val="32"/>
          <w:szCs w:val="32"/>
          <w:u w:val="none"/>
          <w:lang w:val="en-US" w:eastAsia="zh-CN"/>
        </w:rPr>
        <w:t>相对集中的建筑垃圾转运调配场用于临时堆放。</w:t>
      </w:r>
    </w:p>
    <w:p w14:paraId="5E00B1FC">
      <w:pPr>
        <w:pageBreakBefore w:val="0"/>
        <w:kinsoku/>
        <w:wordWrap/>
        <w:overflowPunct/>
        <w:topLinePunct w:val="0"/>
        <w:autoSpaceDE/>
        <w:autoSpaceDN/>
        <w:bidi w:val="0"/>
        <w:adjustRightInd/>
        <w:spacing w:beforeAutospacing="0" w:afterAutospacing="0" w:line="560" w:lineRule="exact"/>
        <w:ind w:left="0" w:leftChars="0"/>
        <w:textAlignment w:val="auto"/>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b w:val="0"/>
          <w:bCs w:val="0"/>
          <w:color w:val="auto"/>
          <w:sz w:val="32"/>
          <w:szCs w:val="32"/>
          <w:u w:val="none"/>
          <w:lang w:val="en-US" w:eastAsia="zh-CN"/>
        </w:rPr>
        <w:t>建设标准。</w:t>
      </w:r>
      <w:r>
        <w:rPr>
          <w:rFonts w:hint="default" w:ascii="Times New Roman" w:hAnsi="Times New Roman" w:eastAsia="仿宋_GB2312" w:cs="Times New Roman"/>
          <w:color w:val="auto"/>
          <w:sz w:val="32"/>
          <w:szCs w:val="32"/>
          <w:u w:val="none"/>
          <w:lang w:val="en-US" w:eastAsia="zh-CN"/>
        </w:rPr>
        <w:t>指定投放点具有一定时间的贮存能力。设置连续性实体围挡，围挡高度不低于2米，出入口处设置统一标识牌。堆放区地坪标高应高于周围地坪标高不小于15厘米。居住</w:t>
      </w:r>
      <w:r>
        <w:rPr>
          <w:rFonts w:hint="default" w:ascii="Times New Roman" w:hAnsi="Times New Roman" w:eastAsia="仿宋_GB2312" w:cs="Times New Roman"/>
          <w:color w:val="auto"/>
          <w:spacing w:val="6"/>
          <w:sz w:val="32"/>
          <w:szCs w:val="32"/>
          <w:u w:val="none"/>
          <w:lang w:val="en-US" w:eastAsia="zh-CN"/>
        </w:rPr>
        <w:t>区在规划建设时同步配套设置，与建筑主体完成后一并投入使用，环卫主管部门参与验收；场地平整并硬化，配置上下水设施。</w:t>
      </w:r>
    </w:p>
    <w:p w14:paraId="65029E55">
      <w:pPr>
        <w:pageBreakBefore w:val="0"/>
        <w:kinsoku/>
        <w:wordWrap/>
        <w:overflowPunct/>
        <w:topLinePunct w:val="0"/>
        <w:autoSpaceDE/>
        <w:autoSpaceDN/>
        <w:bidi w:val="0"/>
        <w:adjustRightInd/>
        <w:spacing w:beforeAutospacing="0" w:afterAutospacing="0" w:line="560" w:lineRule="exact"/>
        <w:ind w:left="0" w:leftChars="0"/>
        <w:textAlignment w:val="auto"/>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b w:val="0"/>
          <w:bCs w:val="0"/>
          <w:color w:val="auto"/>
          <w:sz w:val="32"/>
          <w:szCs w:val="32"/>
          <w:u w:val="none"/>
          <w:lang w:val="en-US" w:eastAsia="zh-CN"/>
        </w:rPr>
        <w:t>环境保护。</w:t>
      </w:r>
      <w:r>
        <w:rPr>
          <w:rFonts w:hint="default" w:ascii="Times New Roman" w:hAnsi="Times New Roman" w:eastAsia="仿宋_GB2312" w:cs="Times New Roman"/>
          <w:color w:val="auto"/>
          <w:sz w:val="32"/>
          <w:szCs w:val="32"/>
          <w:u w:val="none"/>
          <w:lang w:val="en-US" w:eastAsia="zh-CN"/>
        </w:rPr>
        <w:t>严禁将生活垃圾、工业固废、危险废物等混入装修垃圾。不定期进行场内路面洒水降尘，严控扬尘产生；定期检查场内环境卫生，确保不对周围环境造成污染。装修垃圾存放至一定数量后，联系收运企业将装修垃圾清运到指定的资源化处理厂或消纳场。</w:t>
      </w:r>
    </w:p>
    <w:p w14:paraId="4918B5D4">
      <w:pPr>
        <w:pageBreakBefore w:val="0"/>
        <w:kinsoku/>
        <w:wordWrap/>
        <w:overflowPunct/>
        <w:topLinePunct w:val="0"/>
        <w:autoSpaceDE/>
        <w:autoSpaceDN/>
        <w:bidi w:val="0"/>
        <w:adjustRightInd/>
        <w:spacing w:beforeAutospacing="0" w:afterAutospacing="0" w:line="560" w:lineRule="exact"/>
        <w:ind w:left="0" w:leftChars="0"/>
        <w:textAlignment w:val="auto"/>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b w:val="0"/>
          <w:bCs w:val="0"/>
          <w:color w:val="auto"/>
          <w:sz w:val="32"/>
          <w:szCs w:val="32"/>
          <w:u w:val="none"/>
          <w:lang w:val="en-US" w:eastAsia="zh-CN"/>
        </w:rPr>
        <w:t>环境维护。</w:t>
      </w:r>
      <w:r>
        <w:rPr>
          <w:rFonts w:hint="default" w:ascii="Times New Roman" w:hAnsi="Times New Roman" w:eastAsia="仿宋_GB2312" w:cs="Times New Roman"/>
          <w:color w:val="auto"/>
          <w:sz w:val="32"/>
          <w:szCs w:val="32"/>
          <w:highlight w:val="none"/>
          <w:u w:val="none"/>
          <w:lang w:val="en-US" w:eastAsia="zh-CN"/>
        </w:rPr>
        <w:t>设置专人管理，</w:t>
      </w:r>
      <w:r>
        <w:rPr>
          <w:rFonts w:hint="default" w:ascii="Times New Roman" w:hAnsi="Times New Roman" w:eastAsia="仿宋_GB2312" w:cs="Times New Roman"/>
          <w:color w:val="auto"/>
          <w:sz w:val="32"/>
          <w:szCs w:val="32"/>
          <w:u w:val="none"/>
          <w:lang w:val="en-US" w:eastAsia="zh-CN"/>
        </w:rPr>
        <w:t>指导居民将打包好的建筑垃圾自行投放至分类收集点内。进场垃圾应为取得</w:t>
      </w:r>
      <w:r>
        <w:rPr>
          <w:rFonts w:hint="eastAsia" w:eastAsia="仿宋_GB2312" w:cs="Times New Roman"/>
          <w:color w:val="auto"/>
          <w:sz w:val="32"/>
          <w:szCs w:val="32"/>
          <w:u w:val="none"/>
          <w:lang w:val="en-US" w:eastAsia="zh-CN"/>
        </w:rPr>
        <w:t>主管</w:t>
      </w:r>
      <w:r>
        <w:rPr>
          <w:rFonts w:hint="default" w:ascii="Times New Roman" w:hAnsi="Times New Roman" w:eastAsia="仿宋_GB2312" w:cs="Times New Roman"/>
          <w:color w:val="auto"/>
          <w:sz w:val="32"/>
          <w:szCs w:val="32"/>
          <w:u w:val="none"/>
          <w:lang w:val="en-US" w:eastAsia="zh-CN"/>
        </w:rPr>
        <w:t>部门认可的装修垃圾，严禁其他任何垃圾进场。入场后服从管理人员指挥分区倾倒，倾倒完毕清理外挂垃圾，确保车身干净再出场。保持场地内通道畅通、干净，规范设置交通指示标志，危险路段应设置危险标志，全面做好安全隐患排查处置，做到安全规范收集装修垃圾。</w:t>
      </w:r>
    </w:p>
    <w:p w14:paraId="56B3AA5F">
      <w:pPr>
        <w:pageBreakBefore w:val="0"/>
        <w:kinsoku/>
        <w:wordWrap/>
        <w:overflowPunct/>
        <w:topLinePunct w:val="0"/>
        <w:autoSpaceDE/>
        <w:autoSpaceDN/>
        <w:bidi w:val="0"/>
        <w:adjustRightInd/>
        <w:spacing w:beforeAutospacing="0" w:afterAutospacing="0" w:line="560" w:lineRule="exact"/>
        <w:ind w:left="0" w:leftChars="0" w:firstLine="640" w:firstLineChars="200"/>
        <w:textAlignment w:val="auto"/>
        <w:rPr>
          <w:rFonts w:hint="default" w:ascii="Times New Roman" w:hAnsi="Times New Roman" w:eastAsia="仿宋_GB2312" w:cs="Times New Roman"/>
          <w:b/>
          <w:bCs/>
          <w:color w:val="auto"/>
          <w:sz w:val="32"/>
          <w:szCs w:val="32"/>
          <w:u w:val="none"/>
          <w:lang w:val="en-US" w:eastAsia="zh-CN"/>
        </w:rPr>
      </w:pPr>
      <w:r>
        <w:rPr>
          <w:rFonts w:hint="default" w:ascii="Times New Roman" w:hAnsi="Times New Roman" w:eastAsia="仿宋_GB2312" w:cs="Times New Roman"/>
          <w:b w:val="0"/>
          <w:bCs w:val="0"/>
          <w:color w:val="auto"/>
          <w:sz w:val="32"/>
          <w:szCs w:val="32"/>
          <w:u w:val="none"/>
          <w:lang w:val="en-US" w:eastAsia="zh-CN"/>
        </w:rPr>
        <w:t>3</w:t>
      </w:r>
      <w:r>
        <w:rPr>
          <w:rFonts w:hint="eastAsia" w:eastAsia="仿宋_GB2312" w:cs="Times New Roman"/>
          <w:b w:val="0"/>
          <w:bCs w:val="0"/>
          <w:color w:val="auto"/>
          <w:sz w:val="32"/>
          <w:szCs w:val="32"/>
          <w:u w:val="none"/>
          <w:lang w:val="en-US" w:eastAsia="zh-CN"/>
        </w:rPr>
        <w:t>．</w:t>
      </w:r>
      <w:r>
        <w:rPr>
          <w:rFonts w:hint="default" w:ascii="Times New Roman" w:hAnsi="Times New Roman" w:eastAsia="仿宋_GB2312" w:cs="Times New Roman"/>
          <w:b w:val="0"/>
          <w:bCs w:val="0"/>
          <w:color w:val="auto"/>
          <w:sz w:val="32"/>
          <w:szCs w:val="32"/>
          <w:u w:val="none"/>
          <w:lang w:val="en-US" w:eastAsia="zh-CN"/>
        </w:rPr>
        <w:t>建筑垃圾转运调配场</w:t>
      </w:r>
    </w:p>
    <w:p w14:paraId="4E23DABC">
      <w:pPr>
        <w:pageBreakBefore w:val="0"/>
        <w:kinsoku/>
        <w:wordWrap/>
        <w:overflowPunct/>
        <w:topLinePunct w:val="0"/>
        <w:autoSpaceDE/>
        <w:autoSpaceDN/>
        <w:bidi w:val="0"/>
        <w:adjustRightInd/>
        <w:spacing w:beforeAutospacing="0" w:afterAutospacing="0" w:line="560" w:lineRule="exact"/>
        <w:ind w:left="0" w:leftChars="0"/>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color w:val="auto"/>
          <w:sz w:val="32"/>
          <w:szCs w:val="32"/>
          <w:u w:val="none"/>
          <w:lang w:val="en-US" w:eastAsia="zh-CN"/>
        </w:rPr>
        <w:t>建筑垃圾转运调配场主要用于建筑垃圾的集中、前端分拣及暂时无法进行利用的建筑垃圾和运输距离远、需要中转的建筑垃圾的临时堆放。</w:t>
      </w:r>
      <w:r>
        <w:rPr>
          <w:rFonts w:hint="eastAsia" w:eastAsia="仿宋_GB2312" w:cs="Times New Roman"/>
          <w:color w:val="auto"/>
          <w:sz w:val="32"/>
          <w:szCs w:val="32"/>
          <w:u w:val="none"/>
          <w:lang w:val="en-US" w:eastAsia="zh-CN"/>
        </w:rPr>
        <w:t>《工作规划》</w:t>
      </w:r>
      <w:r>
        <w:rPr>
          <w:rFonts w:hint="default" w:ascii="Times New Roman" w:hAnsi="Times New Roman" w:eastAsia="仿宋_GB2312" w:cs="Times New Roman"/>
          <w:sz w:val="32"/>
          <w:szCs w:val="32"/>
          <w:highlight w:val="none"/>
          <w:lang w:val="en-US" w:eastAsia="zh-CN"/>
        </w:rPr>
        <w:t>仅提出原则要求，</w:t>
      </w:r>
      <w:r>
        <w:rPr>
          <w:rFonts w:hint="eastAsia" w:eastAsia="仿宋_GB2312" w:cs="Times New Roman"/>
          <w:sz w:val="32"/>
          <w:szCs w:val="32"/>
          <w:highlight w:val="none"/>
          <w:lang w:val="en-US" w:eastAsia="zh-CN"/>
        </w:rPr>
        <w:t>融安县城区</w:t>
      </w:r>
      <w:r>
        <w:rPr>
          <w:rFonts w:hint="default" w:ascii="Times New Roman" w:hAnsi="Times New Roman" w:eastAsia="仿宋_GB2312" w:cs="Times New Roman"/>
          <w:sz w:val="32"/>
          <w:szCs w:val="32"/>
          <w:highlight w:val="none"/>
          <w:lang w:val="en-US" w:eastAsia="zh-CN"/>
        </w:rPr>
        <w:t>根据实际需求情况进行建设。</w:t>
      </w:r>
    </w:p>
    <w:p w14:paraId="7964F0B0">
      <w:pPr>
        <w:pageBreakBefore w:val="0"/>
        <w:kinsoku/>
        <w:wordWrap/>
        <w:overflowPunct/>
        <w:topLinePunct w:val="0"/>
        <w:autoSpaceDE/>
        <w:autoSpaceDN/>
        <w:bidi w:val="0"/>
        <w:adjustRightInd/>
        <w:spacing w:beforeAutospacing="0" w:afterAutospacing="0" w:line="560" w:lineRule="exact"/>
        <w:ind w:left="0" w:leftChars="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b w:val="0"/>
          <w:bCs w:val="0"/>
          <w:sz w:val="32"/>
          <w:szCs w:val="32"/>
          <w:highlight w:val="none"/>
          <w:lang w:val="en-US" w:eastAsia="zh-CN"/>
        </w:rPr>
        <w:t>选址要求。</w:t>
      </w:r>
      <w:r>
        <w:rPr>
          <w:rFonts w:hint="default" w:ascii="Times New Roman" w:hAnsi="Times New Roman" w:eastAsia="仿宋_GB2312" w:cs="Times New Roman"/>
          <w:sz w:val="32"/>
          <w:szCs w:val="32"/>
          <w:highlight w:val="none"/>
          <w:lang w:val="en-US" w:eastAsia="zh-CN"/>
        </w:rPr>
        <w:t>建筑垃圾转运调配场应符合国土空间规划、环境卫生专项规划和国家有关标准要求，避免占用永久基本农田、生态保护红线、文物古迹区、河道湖泊管理范围以及其他需要特别保护的区域；转运调配场可选择临时用地，宜优先选用废弃的采矿坑；选址处应保证交通便利、运距合理，宜设置在建筑垃圾产量较大的区</w:t>
      </w:r>
      <w:r>
        <w:rPr>
          <w:rFonts w:hint="default" w:ascii="Times New Roman" w:hAnsi="Times New Roman" w:eastAsia="仿宋_GB2312" w:cs="Times New Roman"/>
          <w:sz w:val="32"/>
          <w:szCs w:val="32"/>
          <w:lang w:val="en-US" w:eastAsia="zh-CN"/>
        </w:rPr>
        <w:t>域附近，同时确保不会对周边居民生活造成不良影响。</w:t>
      </w:r>
    </w:p>
    <w:p w14:paraId="62449708">
      <w:pPr>
        <w:pageBreakBefore w:val="0"/>
        <w:kinsoku/>
        <w:wordWrap/>
        <w:overflowPunct/>
        <w:topLinePunct w:val="0"/>
        <w:autoSpaceDE/>
        <w:autoSpaceDN/>
        <w:bidi w:val="0"/>
        <w:adjustRightInd/>
        <w:spacing w:beforeAutospacing="0" w:afterAutospacing="0" w:line="560" w:lineRule="exact"/>
        <w:ind w:left="0" w:leftChars="0"/>
        <w:textAlignment w:val="auto"/>
        <w:rPr>
          <w:rFonts w:hint="default" w:ascii="Times New Roman" w:hAnsi="Times New Roman" w:eastAsia="仿宋_GB2312" w:cs="Times New Roman"/>
          <w:b w:val="0"/>
          <w:bCs w:val="0"/>
          <w:color w:val="auto"/>
          <w:sz w:val="32"/>
          <w:szCs w:val="32"/>
          <w:u w:val="none"/>
          <w:lang w:val="en-US" w:eastAsia="zh-CN"/>
        </w:rPr>
      </w:pPr>
      <w:r>
        <w:rPr>
          <w:rFonts w:hint="default" w:ascii="Times New Roman" w:hAnsi="Times New Roman" w:eastAsia="仿宋_GB2312" w:cs="Times New Roman"/>
          <w:b w:val="0"/>
          <w:bCs w:val="0"/>
          <w:color w:val="auto"/>
          <w:sz w:val="32"/>
          <w:szCs w:val="32"/>
          <w:u w:val="none"/>
          <w:lang w:val="en-US" w:eastAsia="zh-CN"/>
        </w:rPr>
        <w:t>建设规模。建筑垃圾转运调配场建设规模应根据服务区域内建筑垃圾产生量、场址自然条件、地形地貌特征、服务年限及技术、经济合理性等因素综合确定。</w:t>
      </w:r>
    </w:p>
    <w:p w14:paraId="0CB4B2E5">
      <w:pPr>
        <w:pageBreakBefore w:val="0"/>
        <w:kinsoku/>
        <w:wordWrap/>
        <w:overflowPunct/>
        <w:topLinePunct w:val="0"/>
        <w:autoSpaceDE/>
        <w:autoSpaceDN/>
        <w:bidi w:val="0"/>
        <w:adjustRightInd/>
        <w:spacing w:beforeAutospacing="0" w:afterAutospacing="0" w:line="560" w:lineRule="exact"/>
        <w:ind w:left="0" w:leftChars="0"/>
        <w:textAlignment w:val="auto"/>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b w:val="0"/>
          <w:bCs w:val="0"/>
          <w:color w:val="auto"/>
          <w:sz w:val="32"/>
          <w:szCs w:val="32"/>
          <w:u w:val="none"/>
          <w:lang w:val="en-US" w:eastAsia="zh-CN"/>
        </w:rPr>
        <w:t>建设标准。转运</w:t>
      </w:r>
      <w:r>
        <w:rPr>
          <w:rFonts w:hint="default" w:ascii="Times New Roman" w:hAnsi="Times New Roman" w:eastAsia="仿宋_GB2312" w:cs="Times New Roman"/>
          <w:color w:val="auto"/>
          <w:sz w:val="32"/>
          <w:szCs w:val="32"/>
          <w:u w:val="none"/>
          <w:lang w:val="en-US" w:eastAsia="zh-CN"/>
        </w:rPr>
        <w:t>调配场内设置分类堆放区和分拣场地，分类堆放区设置明显的堆放标志。设置围墙、围挡等环境卫生设施；配备相应的装载机、推土机等作业机械，配置其他如照明、消防、降尘、排水等设施设备。</w:t>
      </w:r>
    </w:p>
    <w:p w14:paraId="0579795B">
      <w:pPr>
        <w:pageBreakBefore w:val="0"/>
        <w:kinsoku/>
        <w:wordWrap/>
        <w:overflowPunct/>
        <w:topLinePunct w:val="0"/>
        <w:autoSpaceDE/>
        <w:autoSpaceDN/>
        <w:bidi w:val="0"/>
        <w:adjustRightInd/>
        <w:spacing w:beforeAutospacing="0" w:afterAutospacing="0" w:line="560" w:lineRule="exact"/>
        <w:ind w:left="0" w:leftChars="0"/>
        <w:textAlignment w:val="auto"/>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b w:val="0"/>
          <w:bCs w:val="0"/>
          <w:color w:val="auto"/>
          <w:sz w:val="32"/>
          <w:szCs w:val="32"/>
          <w:u w:val="none"/>
          <w:lang w:val="en-US" w:eastAsia="zh-CN"/>
        </w:rPr>
        <w:t>环境保护。</w:t>
      </w:r>
      <w:r>
        <w:rPr>
          <w:rFonts w:hint="default" w:ascii="Times New Roman" w:hAnsi="Times New Roman" w:eastAsia="仿宋_GB2312" w:cs="Times New Roman"/>
          <w:color w:val="auto"/>
          <w:sz w:val="32"/>
          <w:szCs w:val="32"/>
          <w:u w:val="none"/>
          <w:lang w:val="en-US" w:eastAsia="zh-CN"/>
        </w:rPr>
        <w:t>转运调配场宜设置连续性实体围挡，出入口处设置统一标识牌。建筑垃圾可采取露天或室内堆</w:t>
      </w:r>
      <w:r>
        <w:rPr>
          <w:rFonts w:hint="default" w:ascii="Times New Roman" w:hAnsi="Times New Roman" w:eastAsia="仿宋_GB2312" w:cs="Times New Roman"/>
          <w:color w:val="auto"/>
          <w:sz w:val="32"/>
          <w:szCs w:val="32"/>
          <w:highlight w:val="none"/>
          <w:u w:val="none"/>
          <w:lang w:val="en-US" w:eastAsia="zh-CN"/>
        </w:rPr>
        <w:t>放方式，按照工程渣土、工程泥浆、工程垃圾、拆除垃圾和装修垃圾分类堆放，并设置明显的分类堆放标志，露天堆放时应做好覆盖，防止扬尘产生，做好截水沟及污水管网建设。</w:t>
      </w:r>
    </w:p>
    <w:p w14:paraId="2EF45D18">
      <w:pPr>
        <w:pageBreakBefore w:val="0"/>
        <w:kinsoku/>
        <w:wordWrap/>
        <w:overflowPunct/>
        <w:topLinePunct w:val="0"/>
        <w:autoSpaceDE/>
        <w:autoSpaceDN/>
        <w:bidi w:val="0"/>
        <w:adjustRightInd/>
        <w:spacing w:beforeAutospacing="0" w:afterAutospacing="0" w:line="560" w:lineRule="exact"/>
        <w:ind w:left="0" w:leftChars="0"/>
        <w:textAlignment w:val="auto"/>
        <w:rPr>
          <w:rFonts w:hint="default" w:ascii="Times New Roman" w:hAnsi="Times New Roman" w:eastAsia="仿宋_GB2312" w:cs="Times New Roman"/>
          <w:color w:val="auto"/>
          <w:sz w:val="32"/>
          <w:szCs w:val="32"/>
          <w:highlight w:val="red"/>
          <w:u w:val="none"/>
          <w:lang w:val="en-US" w:eastAsia="zh-CN"/>
        </w:rPr>
      </w:pPr>
      <w:r>
        <w:rPr>
          <w:rFonts w:hint="default" w:ascii="Times New Roman" w:hAnsi="Times New Roman" w:eastAsia="仿宋_GB2312" w:cs="Times New Roman"/>
          <w:b w:val="0"/>
          <w:bCs w:val="0"/>
          <w:color w:val="auto"/>
          <w:sz w:val="32"/>
          <w:szCs w:val="32"/>
          <w:u w:val="none"/>
          <w:lang w:val="en-US" w:eastAsia="zh-CN"/>
        </w:rPr>
        <w:t>运营维护。</w:t>
      </w:r>
      <w:r>
        <w:rPr>
          <w:rFonts w:hint="default" w:ascii="Times New Roman" w:hAnsi="Times New Roman" w:eastAsia="仿宋_GB2312" w:cs="Times New Roman"/>
          <w:color w:val="auto"/>
          <w:sz w:val="32"/>
          <w:szCs w:val="32"/>
          <w:u w:val="none"/>
          <w:lang w:val="en-US" w:eastAsia="zh-CN"/>
        </w:rPr>
        <w:t>设立专职管理人员，负责日常监管，督促生产运营管理；</w:t>
      </w:r>
      <w:r>
        <w:rPr>
          <w:rFonts w:hint="eastAsia" w:eastAsia="仿宋_GB2312" w:cs="Times New Roman"/>
          <w:color w:val="auto"/>
          <w:sz w:val="32"/>
          <w:szCs w:val="32"/>
          <w:u w:val="none"/>
          <w:lang w:val="en-US" w:eastAsia="zh-CN"/>
        </w:rPr>
        <w:t>运输</w:t>
      </w:r>
      <w:r>
        <w:rPr>
          <w:rFonts w:hint="default" w:ascii="Times New Roman" w:hAnsi="Times New Roman" w:eastAsia="仿宋_GB2312" w:cs="Times New Roman"/>
          <w:color w:val="auto"/>
          <w:sz w:val="32"/>
          <w:szCs w:val="32"/>
          <w:u w:val="none"/>
          <w:lang w:val="en-US" w:eastAsia="zh-CN"/>
        </w:rPr>
        <w:t>车辆进出应执行</w:t>
      </w:r>
      <w:r>
        <w:rPr>
          <w:rFonts w:hint="eastAsia" w:ascii="仿宋_GB2312" w:hAnsi="仿宋_GB2312" w:eastAsia="仿宋_GB2312" w:cs="仿宋_GB2312"/>
          <w:color w:val="auto"/>
          <w:sz w:val="32"/>
          <w:szCs w:val="32"/>
          <w:u w:val="none"/>
          <w:lang w:val="en-US" w:eastAsia="zh-CN"/>
        </w:rPr>
        <w:t>“</w:t>
      </w:r>
      <w:r>
        <w:rPr>
          <w:rFonts w:hint="default" w:ascii="Times New Roman" w:hAnsi="Times New Roman" w:eastAsia="仿宋_GB2312" w:cs="Times New Roman"/>
          <w:color w:val="auto"/>
          <w:sz w:val="32"/>
          <w:szCs w:val="32"/>
          <w:u w:val="none"/>
          <w:lang w:val="en-US" w:eastAsia="zh-CN"/>
        </w:rPr>
        <w:t>一车一单</w:t>
      </w:r>
      <w:r>
        <w:rPr>
          <w:rFonts w:hint="eastAsia" w:ascii="仿宋_GB2312" w:hAnsi="仿宋_GB2312" w:eastAsia="仿宋_GB2312" w:cs="仿宋_GB2312"/>
          <w:color w:val="auto"/>
          <w:sz w:val="32"/>
          <w:szCs w:val="32"/>
          <w:u w:val="none"/>
          <w:lang w:val="en-US" w:eastAsia="zh-CN"/>
        </w:rPr>
        <w:t>”</w:t>
      </w:r>
      <w:r>
        <w:rPr>
          <w:rFonts w:hint="default" w:ascii="Times New Roman" w:hAnsi="Times New Roman" w:eastAsia="仿宋_GB2312" w:cs="Times New Roman"/>
          <w:color w:val="auto"/>
          <w:sz w:val="32"/>
          <w:szCs w:val="32"/>
          <w:u w:val="none"/>
          <w:lang w:val="en-US" w:eastAsia="zh-CN"/>
        </w:rPr>
        <w:t>的制度，经核准证件后，才可放行；无关人员不得进入场内进行捡拾废品等活动；配备与规模相适应的分类堆放区、分拣区、作业场地和作业人员，应定期保养和及时维修站内设备设施。</w:t>
      </w:r>
    </w:p>
    <w:p w14:paraId="7BA38A9E">
      <w:pPr>
        <w:pageBreakBefore w:val="0"/>
        <w:kinsoku/>
        <w:wordWrap/>
        <w:overflowPunct/>
        <w:topLinePunct w:val="0"/>
        <w:autoSpaceDE/>
        <w:autoSpaceDN/>
        <w:bidi w:val="0"/>
        <w:adjustRightInd/>
        <w:spacing w:beforeAutospacing="0" w:afterAutospacing="0" w:line="560" w:lineRule="exact"/>
        <w:ind w:left="0" w:leftChars="0" w:firstLine="640" w:firstLineChars="200"/>
        <w:textAlignment w:val="auto"/>
        <w:rPr>
          <w:rFonts w:hint="default" w:ascii="Times New Roman" w:hAnsi="Times New Roman" w:eastAsia="仿宋_GB2312" w:cs="Times New Roman"/>
          <w:b w:val="0"/>
          <w:bCs w:val="0"/>
          <w:color w:val="auto"/>
          <w:sz w:val="32"/>
          <w:szCs w:val="32"/>
          <w:u w:val="none"/>
          <w:lang w:val="en-US" w:eastAsia="zh-CN"/>
        </w:rPr>
      </w:pPr>
      <w:r>
        <w:rPr>
          <w:rFonts w:hint="default" w:ascii="Times New Roman" w:hAnsi="Times New Roman" w:eastAsia="仿宋_GB2312" w:cs="Times New Roman"/>
          <w:b w:val="0"/>
          <w:bCs w:val="0"/>
          <w:color w:val="auto"/>
          <w:sz w:val="32"/>
          <w:szCs w:val="32"/>
          <w:u w:val="none"/>
          <w:lang w:val="en-US" w:eastAsia="zh-CN"/>
        </w:rPr>
        <w:t>4</w:t>
      </w:r>
      <w:r>
        <w:rPr>
          <w:rFonts w:hint="eastAsia" w:eastAsia="仿宋_GB2312" w:cs="Times New Roman"/>
          <w:b w:val="0"/>
          <w:bCs w:val="0"/>
          <w:color w:val="auto"/>
          <w:sz w:val="32"/>
          <w:szCs w:val="32"/>
          <w:u w:val="none"/>
          <w:lang w:val="en-US" w:eastAsia="zh-CN"/>
        </w:rPr>
        <w:t>．</w:t>
      </w:r>
      <w:r>
        <w:rPr>
          <w:rFonts w:hint="default" w:ascii="Times New Roman" w:hAnsi="Times New Roman" w:eastAsia="仿宋_GB2312" w:cs="Times New Roman"/>
          <w:b w:val="0"/>
          <w:bCs w:val="0"/>
          <w:color w:val="auto"/>
          <w:sz w:val="32"/>
          <w:szCs w:val="32"/>
          <w:u w:val="none"/>
          <w:lang w:val="en-US" w:eastAsia="zh-CN"/>
        </w:rPr>
        <w:t>建筑垃圾收运车辆规划</w:t>
      </w:r>
    </w:p>
    <w:p w14:paraId="453D6154">
      <w:pPr>
        <w:pageBreakBefore w:val="0"/>
        <w:kinsoku/>
        <w:wordWrap/>
        <w:overflowPunct/>
        <w:topLinePunct w:val="0"/>
        <w:autoSpaceDE/>
        <w:autoSpaceDN/>
        <w:bidi w:val="0"/>
        <w:adjustRightInd/>
        <w:spacing w:beforeAutospacing="0" w:afterAutospacing="0" w:line="560" w:lineRule="exact"/>
        <w:ind w:left="0" w:leftChars="0"/>
        <w:textAlignment w:val="auto"/>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b w:val="0"/>
          <w:bCs w:val="0"/>
          <w:color w:val="auto"/>
          <w:sz w:val="32"/>
          <w:szCs w:val="32"/>
          <w:u w:val="none"/>
          <w:lang w:val="en-US" w:eastAsia="zh-CN"/>
        </w:rPr>
        <w:t>车辆技术要求。</w:t>
      </w:r>
      <w:r>
        <w:rPr>
          <w:rFonts w:hint="default" w:ascii="Times New Roman" w:hAnsi="Times New Roman" w:eastAsia="仿宋_GB2312" w:cs="Times New Roman"/>
          <w:color w:val="auto"/>
          <w:sz w:val="32"/>
          <w:szCs w:val="32"/>
          <w:u w:val="none"/>
          <w:lang w:val="en-US" w:eastAsia="zh-CN"/>
        </w:rPr>
        <w:t>工程渣土、工程垃圾和拆迁垃圾的运输采用大型密闭化运输车，工程泥浆运输应采用密闭式罐车；装修垃圾从收集点至转运至处置厂或资源</w:t>
      </w:r>
      <w:r>
        <w:rPr>
          <w:rFonts w:hint="eastAsia" w:eastAsia="仿宋_GB2312" w:cs="Times New Roman"/>
          <w:color w:val="auto"/>
          <w:sz w:val="32"/>
          <w:szCs w:val="32"/>
          <w:u w:val="none"/>
          <w:lang w:val="en-US" w:eastAsia="zh-CN"/>
        </w:rPr>
        <w:t>化</w:t>
      </w:r>
      <w:r>
        <w:rPr>
          <w:rFonts w:hint="default" w:ascii="Times New Roman" w:hAnsi="Times New Roman" w:eastAsia="仿宋_GB2312" w:cs="Times New Roman"/>
          <w:color w:val="auto"/>
          <w:sz w:val="32"/>
          <w:szCs w:val="32"/>
          <w:u w:val="none"/>
          <w:lang w:val="en-US" w:eastAsia="zh-CN"/>
        </w:rPr>
        <w:t>利用厂阶段采用小型密闭化运输车辆。收运</w:t>
      </w:r>
      <w:r>
        <w:rPr>
          <w:rFonts w:hint="eastAsia" w:eastAsia="仿宋_GB2312" w:cs="Times New Roman"/>
          <w:color w:val="auto"/>
          <w:sz w:val="32"/>
          <w:szCs w:val="32"/>
          <w:u w:val="none"/>
          <w:lang w:val="en-US" w:eastAsia="zh-CN"/>
        </w:rPr>
        <w:t>企业</w:t>
      </w:r>
      <w:r>
        <w:rPr>
          <w:rFonts w:hint="default" w:ascii="Times New Roman" w:hAnsi="Times New Roman" w:eastAsia="仿宋_GB2312" w:cs="Times New Roman"/>
          <w:color w:val="auto"/>
          <w:sz w:val="32"/>
          <w:szCs w:val="32"/>
          <w:u w:val="none"/>
          <w:lang w:val="en-US" w:eastAsia="zh-CN"/>
        </w:rPr>
        <w:t>的运输车辆应具有行驶证和营运证，并取得建筑垃圾清运核准，最大装载量符合有关限定标准，颜色和标识符合相关规定等要求。建筑垃圾收运车辆应安装GPS定位装置。鼓励使用新能源车辆开展建筑垃圾收运工作。</w:t>
      </w:r>
    </w:p>
    <w:p w14:paraId="5FCFC5E3">
      <w:pPr>
        <w:pageBreakBefore w:val="0"/>
        <w:kinsoku/>
        <w:wordWrap/>
        <w:overflowPunct/>
        <w:topLinePunct w:val="0"/>
        <w:autoSpaceDE/>
        <w:autoSpaceDN/>
        <w:bidi w:val="0"/>
        <w:adjustRightInd/>
        <w:spacing w:beforeAutospacing="0" w:afterAutospacing="0" w:line="560" w:lineRule="exact"/>
        <w:ind w:left="0" w:leftChars="0"/>
        <w:textAlignment w:val="auto"/>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b w:val="0"/>
          <w:bCs w:val="0"/>
          <w:color w:val="auto"/>
          <w:sz w:val="32"/>
          <w:szCs w:val="32"/>
          <w:u w:val="none"/>
          <w:lang w:val="en-US" w:eastAsia="zh-CN"/>
        </w:rPr>
        <w:t>车辆管理。</w:t>
      </w:r>
      <w:r>
        <w:rPr>
          <w:rFonts w:hint="default" w:ascii="Times New Roman" w:hAnsi="Times New Roman" w:eastAsia="仿宋_GB2312" w:cs="Times New Roman"/>
          <w:color w:val="auto"/>
          <w:sz w:val="32"/>
          <w:szCs w:val="32"/>
          <w:u w:val="none"/>
          <w:lang w:val="en-US" w:eastAsia="zh-CN"/>
        </w:rPr>
        <w:t>任何单位和个人不得随意运输、倾倒建筑垃圾。建筑垃圾应由核准的从事建筑垃圾运输服务的企业运输，分类堆放的建筑垃圾应分别运输。建筑垃圾运输工具应外观整洁、标志齐全，车辆底盘、车轮无大块泥沙等附着物。对符合相关标准要求的全密闭式运输车辆统一纳入建筑垃圾综合监管服务系统平台规范管理；保持运输车辆的行驶及装卸记录等电子装置正常使用。按照核准证规定的时间、路线收运建筑垃圾至指定的建筑垃圾处置设施和场所，不得沿途泄漏、遗撒、倾倒建筑垃圾。</w:t>
      </w:r>
    </w:p>
    <w:p w14:paraId="461CE627">
      <w:pPr>
        <w:pStyle w:val="3"/>
        <w:pageBreakBefore w:val="0"/>
        <w:kinsoku/>
        <w:wordWrap/>
        <w:overflowPunct/>
        <w:topLinePunct w:val="0"/>
        <w:autoSpaceDE/>
        <w:autoSpaceDN/>
        <w:bidi w:val="0"/>
        <w:adjustRightInd/>
        <w:spacing w:beforeAutospacing="0" w:afterAutospacing="0" w:line="560" w:lineRule="exact"/>
        <w:ind w:left="0" w:leftChars="0" w:firstLine="640" w:firstLineChars="200"/>
        <w:textAlignment w:val="auto"/>
        <w:rPr>
          <w:rFonts w:hint="default" w:ascii="楷体_GB2312" w:hAnsi="楷体_GB2312" w:eastAsia="楷体_GB2312" w:cs="楷体_GB2312"/>
          <w:b w:val="0"/>
          <w:bCs w:val="0"/>
          <w:color w:val="auto"/>
          <w:sz w:val="32"/>
          <w:szCs w:val="32"/>
          <w:highlight w:val="none"/>
          <w:u w:val="none"/>
          <w:lang w:val="en-US" w:eastAsia="zh-CN"/>
        </w:rPr>
      </w:pPr>
      <w:bookmarkStart w:id="66" w:name="_Toc8066"/>
      <w:bookmarkStart w:id="67" w:name="_Toc25616"/>
      <w:bookmarkStart w:id="68" w:name="_Toc29264"/>
      <w:r>
        <w:rPr>
          <w:rFonts w:hint="eastAsia" w:ascii="楷体_GB2312" w:hAnsi="楷体_GB2312" w:eastAsia="楷体_GB2312" w:cs="楷体_GB2312"/>
          <w:b w:val="0"/>
          <w:bCs w:val="0"/>
          <w:color w:val="auto"/>
          <w:sz w:val="32"/>
          <w:szCs w:val="32"/>
          <w:highlight w:val="none"/>
          <w:u w:val="none"/>
          <w:lang w:val="en-US" w:eastAsia="zh-CN"/>
        </w:rPr>
        <w:t>（三）</w:t>
      </w:r>
      <w:r>
        <w:rPr>
          <w:rFonts w:hint="default" w:ascii="楷体_GB2312" w:hAnsi="楷体_GB2312" w:eastAsia="楷体_GB2312" w:cs="楷体_GB2312"/>
          <w:b w:val="0"/>
          <w:bCs w:val="0"/>
          <w:color w:val="auto"/>
          <w:sz w:val="32"/>
          <w:szCs w:val="32"/>
          <w:highlight w:val="none"/>
          <w:u w:val="none"/>
          <w:lang w:val="en-US" w:eastAsia="zh-CN"/>
        </w:rPr>
        <w:t>收运路线</w:t>
      </w:r>
      <w:bookmarkEnd w:id="66"/>
      <w:bookmarkEnd w:id="67"/>
      <w:bookmarkEnd w:id="68"/>
    </w:p>
    <w:p w14:paraId="6473409D">
      <w:pPr>
        <w:pageBreakBefore w:val="0"/>
        <w:kinsoku/>
        <w:wordWrap/>
        <w:overflowPunct/>
        <w:topLinePunct w:val="0"/>
        <w:autoSpaceDE/>
        <w:autoSpaceDN/>
        <w:bidi w:val="0"/>
        <w:adjustRightInd/>
        <w:spacing w:beforeAutospacing="0" w:afterAutospacing="0" w:line="560" w:lineRule="exact"/>
        <w:ind w:left="0" w:leftChars="0"/>
        <w:textAlignment w:val="auto"/>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val="en-US" w:eastAsia="zh-CN"/>
        </w:rPr>
        <w:t>建筑垃圾运输车辆属于特殊行业运输车辆，要求全部采用密闭式车厢，实行完全封闭运输，收运线路主要利用省道、国道、城市干路等路况好、距离便捷的路线，同时不对周边居民和环境产生影响。</w:t>
      </w:r>
    </w:p>
    <w:p w14:paraId="673B8C63">
      <w:pPr>
        <w:pageBreakBefore w:val="0"/>
        <w:kinsoku/>
        <w:wordWrap/>
        <w:overflowPunct/>
        <w:topLinePunct w:val="0"/>
        <w:autoSpaceDE/>
        <w:autoSpaceDN/>
        <w:bidi w:val="0"/>
        <w:adjustRightInd/>
        <w:spacing w:beforeAutospacing="0" w:afterAutospacing="0" w:line="560" w:lineRule="exact"/>
        <w:ind w:left="0" w:leftChars="0"/>
        <w:textAlignment w:val="auto"/>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val="en-US" w:eastAsia="zh-CN"/>
        </w:rPr>
        <w:t>运输线路规划结合</w:t>
      </w:r>
      <w:r>
        <w:rPr>
          <w:rFonts w:hint="default" w:ascii="Times New Roman" w:hAnsi="Times New Roman" w:eastAsia="仿宋_GB2312" w:cs="Times New Roman"/>
          <w:bCs/>
          <w:color w:val="auto"/>
          <w:sz w:val="32"/>
          <w:szCs w:val="32"/>
          <w:highlight w:val="none"/>
          <w:u w:val="none"/>
          <w:lang w:val="en-US" w:eastAsia="zh-CN"/>
        </w:rPr>
        <w:t>融安县</w:t>
      </w:r>
      <w:r>
        <w:rPr>
          <w:rFonts w:hint="default" w:ascii="Times New Roman" w:hAnsi="Times New Roman" w:eastAsia="仿宋_GB2312" w:cs="Times New Roman"/>
          <w:color w:val="auto"/>
          <w:sz w:val="32"/>
          <w:szCs w:val="32"/>
          <w:u w:val="none"/>
          <w:lang w:val="en-US" w:eastAsia="zh-CN"/>
        </w:rPr>
        <w:t>不同区域，建筑垃圾产生单位和收集点按照就近原则，选择支路进入主要</w:t>
      </w:r>
      <w:r>
        <w:rPr>
          <w:rFonts w:hint="eastAsia" w:eastAsia="仿宋_GB2312" w:cs="Times New Roman"/>
          <w:color w:val="auto"/>
          <w:sz w:val="32"/>
          <w:szCs w:val="32"/>
          <w:u w:val="none"/>
          <w:lang w:val="en-US" w:eastAsia="zh-CN"/>
        </w:rPr>
        <w:t>城</w:t>
      </w:r>
      <w:r>
        <w:rPr>
          <w:rFonts w:hint="default" w:ascii="Times New Roman" w:hAnsi="Times New Roman" w:eastAsia="仿宋_GB2312" w:cs="Times New Roman"/>
          <w:color w:val="auto"/>
          <w:sz w:val="32"/>
          <w:szCs w:val="32"/>
          <w:u w:val="none"/>
          <w:lang w:val="en-US" w:eastAsia="zh-CN"/>
        </w:rPr>
        <w:t>区交通性干道，送至建筑垃圾</w:t>
      </w:r>
      <w:r>
        <w:rPr>
          <w:rFonts w:hint="default" w:ascii="Times New Roman" w:hAnsi="Times New Roman" w:eastAsia="仿宋_GB2312" w:cs="Times New Roman"/>
          <w:color w:val="auto"/>
          <w:sz w:val="32"/>
          <w:szCs w:val="32"/>
          <w:highlight w:val="none"/>
          <w:u w:val="none"/>
          <w:lang w:val="en-US" w:eastAsia="zh-CN"/>
        </w:rPr>
        <w:t>资源化设施或消纳场所。</w:t>
      </w:r>
      <w:r>
        <w:rPr>
          <w:rFonts w:hint="default" w:ascii="Times New Roman" w:hAnsi="Times New Roman" w:eastAsia="仿宋_GB2312" w:cs="Times New Roman"/>
          <w:color w:val="auto"/>
          <w:sz w:val="32"/>
          <w:szCs w:val="32"/>
          <w:u w:val="none"/>
          <w:lang w:val="en-US" w:eastAsia="zh-CN"/>
        </w:rPr>
        <w:t>收运企业报请建筑垃圾收运及处置方案时，应注明运输线路，建筑垃圾收运专用道的设置应当征求公安</w:t>
      </w:r>
      <w:r>
        <w:rPr>
          <w:rFonts w:hint="eastAsia" w:eastAsia="仿宋_GB2312" w:cs="Times New Roman"/>
          <w:color w:val="auto"/>
          <w:sz w:val="32"/>
          <w:szCs w:val="32"/>
          <w:u w:val="none"/>
          <w:lang w:val="en-US" w:eastAsia="zh-CN"/>
        </w:rPr>
        <w:t>、</w:t>
      </w:r>
      <w:r>
        <w:rPr>
          <w:rFonts w:hint="default" w:ascii="Times New Roman" w:hAnsi="Times New Roman" w:eastAsia="仿宋_GB2312" w:cs="Times New Roman"/>
          <w:color w:val="auto"/>
          <w:sz w:val="32"/>
          <w:szCs w:val="32"/>
          <w:u w:val="none"/>
          <w:lang w:val="en-US" w:eastAsia="zh-CN"/>
        </w:rPr>
        <w:t>交管部门意见。因特殊需求不能沿建筑垃圾专用道收运时，须向</w:t>
      </w:r>
      <w:r>
        <w:rPr>
          <w:rFonts w:hint="eastAsia" w:eastAsia="仿宋_GB2312" w:cs="Times New Roman"/>
          <w:color w:val="auto"/>
          <w:sz w:val="32"/>
          <w:szCs w:val="32"/>
          <w:u w:val="none"/>
          <w:lang w:val="en-US" w:eastAsia="zh-CN"/>
        </w:rPr>
        <w:t>县</w:t>
      </w:r>
      <w:r>
        <w:rPr>
          <w:rFonts w:hint="default" w:ascii="Times New Roman" w:hAnsi="Times New Roman" w:eastAsia="仿宋_GB2312" w:cs="Times New Roman"/>
          <w:color w:val="auto"/>
          <w:sz w:val="32"/>
          <w:szCs w:val="32"/>
          <w:u w:val="none"/>
          <w:lang w:val="en-US" w:eastAsia="zh-CN"/>
        </w:rPr>
        <w:t>综合行政执法局、公安</w:t>
      </w:r>
      <w:r>
        <w:rPr>
          <w:rFonts w:hint="eastAsia" w:eastAsia="仿宋_GB2312" w:cs="Times New Roman"/>
          <w:color w:val="auto"/>
          <w:sz w:val="32"/>
          <w:szCs w:val="32"/>
          <w:u w:val="none"/>
          <w:lang w:val="en-US" w:eastAsia="zh-CN"/>
        </w:rPr>
        <w:t>、</w:t>
      </w:r>
      <w:r>
        <w:rPr>
          <w:rFonts w:hint="default" w:ascii="Times New Roman" w:hAnsi="Times New Roman" w:eastAsia="仿宋_GB2312" w:cs="Times New Roman"/>
          <w:color w:val="auto"/>
          <w:sz w:val="32"/>
          <w:szCs w:val="32"/>
          <w:u w:val="none"/>
          <w:lang w:val="en-US" w:eastAsia="zh-CN"/>
        </w:rPr>
        <w:t>交管部门提出申请，未经批准严禁在其他时间、路线运输建筑垃圾。</w:t>
      </w:r>
    </w:p>
    <w:p w14:paraId="77898895">
      <w:pPr>
        <w:pageBreakBefore w:val="0"/>
        <w:kinsoku/>
        <w:wordWrap/>
        <w:overflowPunct/>
        <w:topLinePunct w:val="0"/>
        <w:autoSpaceDE/>
        <w:autoSpaceDN/>
        <w:bidi w:val="0"/>
        <w:adjustRightInd/>
        <w:spacing w:beforeAutospacing="0" w:afterAutospacing="0" w:line="560" w:lineRule="exact"/>
        <w:ind w:left="0" w:leftChars="0"/>
        <w:textAlignment w:val="auto"/>
        <w:rPr>
          <w:rFonts w:hint="default" w:ascii="Times New Roman" w:hAnsi="Times New Roman" w:eastAsia="仿宋_GB2312" w:cs="Times New Roman"/>
          <w:color w:val="auto"/>
          <w:sz w:val="32"/>
          <w:szCs w:val="32"/>
          <w:highlight w:val="none"/>
          <w:u w:val="none"/>
          <w:lang w:val="en-US" w:eastAsia="zh-CN"/>
        </w:rPr>
      </w:pPr>
      <w:bookmarkStart w:id="69" w:name="_Toc15364"/>
      <w:r>
        <w:rPr>
          <w:rFonts w:hint="default" w:ascii="Times New Roman" w:hAnsi="Times New Roman" w:eastAsia="仿宋_GB2312" w:cs="Times New Roman"/>
          <w:color w:val="auto"/>
          <w:sz w:val="32"/>
          <w:szCs w:val="32"/>
          <w:highlight w:val="none"/>
          <w:u w:val="none"/>
          <w:lang w:val="en-US" w:eastAsia="zh-CN"/>
        </w:rPr>
        <w:br w:type="page"/>
      </w:r>
    </w:p>
    <w:p w14:paraId="6BA1ED12">
      <w:pPr>
        <w:pStyle w:val="2"/>
        <w:pageBreakBefore w:val="0"/>
        <w:kinsoku/>
        <w:wordWrap/>
        <w:overflowPunct/>
        <w:topLinePunct w:val="0"/>
        <w:autoSpaceDE/>
        <w:autoSpaceDN/>
        <w:bidi w:val="0"/>
        <w:adjustRightInd/>
        <w:spacing w:before="0" w:beforeLines="0" w:beforeAutospacing="0" w:after="0" w:afterLines="0" w:afterAutospacing="0" w:line="560" w:lineRule="exact"/>
        <w:ind w:left="0" w:leftChars="0" w:firstLine="640" w:firstLineChars="200"/>
        <w:jc w:val="both"/>
        <w:textAlignment w:val="auto"/>
        <w:rPr>
          <w:rFonts w:hint="eastAsia" w:ascii="黑体" w:hAnsi="黑体" w:eastAsia="黑体" w:cs="黑体"/>
          <w:b w:val="0"/>
          <w:bCs/>
          <w:color w:val="auto"/>
          <w:sz w:val="32"/>
          <w:szCs w:val="32"/>
          <w:highlight w:val="none"/>
          <w:u w:val="none"/>
          <w:lang w:val="en-US" w:eastAsia="zh-CN"/>
        </w:rPr>
      </w:pPr>
      <w:bookmarkStart w:id="70" w:name="_Toc13456"/>
      <w:bookmarkStart w:id="71" w:name="_Toc25487"/>
      <w:r>
        <w:rPr>
          <w:rFonts w:hint="eastAsia" w:ascii="黑体" w:hAnsi="黑体" w:eastAsia="黑体" w:cs="黑体"/>
          <w:b w:val="0"/>
          <w:bCs/>
          <w:color w:val="auto"/>
          <w:sz w:val="32"/>
          <w:szCs w:val="32"/>
          <w:highlight w:val="none"/>
          <w:u w:val="none"/>
          <w:lang w:val="en-US" w:eastAsia="zh-CN"/>
        </w:rPr>
        <w:t>七、建筑垃圾处理设施规划</w:t>
      </w:r>
      <w:bookmarkEnd w:id="69"/>
      <w:bookmarkEnd w:id="70"/>
      <w:bookmarkEnd w:id="71"/>
    </w:p>
    <w:p w14:paraId="702FC444">
      <w:pPr>
        <w:pStyle w:val="3"/>
        <w:pageBreakBefore w:val="0"/>
        <w:kinsoku/>
        <w:wordWrap/>
        <w:overflowPunct/>
        <w:topLinePunct w:val="0"/>
        <w:autoSpaceDE/>
        <w:autoSpaceDN/>
        <w:bidi w:val="0"/>
        <w:adjustRightInd/>
        <w:spacing w:beforeAutospacing="0" w:afterAutospacing="0" w:line="560" w:lineRule="exact"/>
        <w:ind w:left="0" w:leftChars="0" w:firstLine="640" w:firstLineChars="200"/>
        <w:textAlignment w:val="auto"/>
        <w:rPr>
          <w:rFonts w:hint="eastAsia" w:ascii="楷体_GB2312" w:hAnsi="楷体_GB2312" w:eastAsia="楷体_GB2312" w:cs="楷体_GB2312"/>
          <w:b w:val="0"/>
          <w:bCs/>
          <w:color w:val="auto"/>
          <w:sz w:val="32"/>
          <w:szCs w:val="32"/>
          <w:u w:val="none"/>
          <w:lang w:val="en-US" w:eastAsia="zh-CN"/>
        </w:rPr>
      </w:pPr>
      <w:bookmarkStart w:id="72" w:name="_Toc5553"/>
      <w:bookmarkStart w:id="73" w:name="_Toc20494"/>
      <w:bookmarkStart w:id="74" w:name="_Toc14858"/>
      <w:r>
        <w:rPr>
          <w:rFonts w:hint="eastAsia" w:ascii="楷体_GB2312" w:hAnsi="楷体_GB2312" w:eastAsia="楷体_GB2312" w:cs="楷体_GB2312"/>
          <w:b w:val="0"/>
          <w:bCs/>
          <w:color w:val="auto"/>
          <w:sz w:val="32"/>
          <w:szCs w:val="32"/>
          <w:u w:val="none"/>
          <w:lang w:val="en-US" w:eastAsia="zh-CN"/>
        </w:rPr>
        <w:t>（一）处理方案</w:t>
      </w:r>
      <w:bookmarkEnd w:id="72"/>
      <w:bookmarkEnd w:id="73"/>
      <w:bookmarkEnd w:id="74"/>
    </w:p>
    <w:p w14:paraId="0E921DCB">
      <w:pPr>
        <w:pageBreakBefore w:val="0"/>
        <w:kinsoku/>
        <w:wordWrap/>
        <w:overflowPunct/>
        <w:topLinePunct w:val="0"/>
        <w:autoSpaceDE/>
        <w:autoSpaceDN/>
        <w:bidi w:val="0"/>
        <w:adjustRightInd/>
        <w:spacing w:beforeAutospacing="0" w:afterAutospacing="0" w:line="560" w:lineRule="exact"/>
        <w:ind w:left="0" w:leftChars="0" w:firstLine="640" w:firstLineChars="200"/>
        <w:textAlignment w:val="auto"/>
        <w:rPr>
          <w:rFonts w:hint="eastAsia" w:ascii="仿宋_GB2312" w:hAnsi="仿宋_GB2312" w:eastAsia="仿宋_GB2312" w:cs="仿宋_GB2312"/>
          <w:b/>
          <w:bCs/>
          <w:color w:val="auto"/>
          <w:sz w:val="32"/>
          <w:szCs w:val="32"/>
          <w:u w:val="none"/>
          <w:lang w:val="en-US" w:eastAsia="zh-CN"/>
        </w:rPr>
      </w:pPr>
      <w:r>
        <w:rPr>
          <w:rFonts w:hint="default" w:ascii="Times New Roman" w:hAnsi="Times New Roman" w:eastAsia="仿宋_GB2312" w:cs="Times New Roman"/>
          <w:color w:val="auto"/>
          <w:sz w:val="32"/>
          <w:szCs w:val="32"/>
          <w:u w:val="none"/>
          <w:lang w:val="en-US" w:eastAsia="zh-CN"/>
        </w:rPr>
        <w:t>1</w:t>
      </w:r>
      <w:r>
        <w:rPr>
          <w:rFonts w:hint="eastAsia" w:ascii="Times New Roman" w:hAnsi="Times New Roman" w:eastAsia="仿宋_GB2312" w:cs="Times New Roman"/>
          <w:color w:val="auto"/>
          <w:sz w:val="32"/>
          <w:szCs w:val="32"/>
          <w:u w:val="none"/>
          <w:lang w:val="en-US" w:eastAsia="zh-CN"/>
        </w:rPr>
        <w:t>．</w:t>
      </w:r>
      <w:r>
        <w:rPr>
          <w:rFonts w:hint="eastAsia" w:ascii="仿宋_GB2312" w:hAnsi="仿宋_GB2312" w:eastAsia="仿宋_GB2312" w:cs="仿宋_GB2312"/>
          <w:b w:val="0"/>
          <w:bCs/>
          <w:color w:val="auto"/>
          <w:sz w:val="32"/>
          <w:szCs w:val="32"/>
          <w:u w:val="none"/>
          <w:lang w:val="en-US" w:eastAsia="zh-CN"/>
        </w:rPr>
        <w:t>建筑垃圾利用及处置要求</w:t>
      </w:r>
    </w:p>
    <w:p w14:paraId="4636518B">
      <w:pPr>
        <w:pageBreakBefore w:val="0"/>
        <w:kinsoku/>
        <w:wordWrap/>
        <w:overflowPunct/>
        <w:topLinePunct w:val="0"/>
        <w:autoSpaceDE/>
        <w:autoSpaceDN/>
        <w:bidi w:val="0"/>
        <w:adjustRightInd/>
        <w:spacing w:beforeAutospacing="0" w:afterAutospacing="0" w:line="560" w:lineRule="exact"/>
        <w:ind w:left="0" w:leftChars="0"/>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根据国家《建筑垃圾处理技术标准》</w:t>
      </w:r>
      <w:r>
        <w:rPr>
          <w:rFonts w:hint="default" w:ascii="Times New Roman" w:hAnsi="Times New Roman" w:eastAsia="仿宋_GB2312" w:cs="Times New Roman"/>
          <w:color w:val="auto"/>
          <w:sz w:val="32"/>
          <w:szCs w:val="32"/>
          <w:u w:val="none"/>
          <w:lang w:val="en-US" w:eastAsia="zh-CN"/>
        </w:rPr>
        <w:t>（CJJ/T134-2019）</w:t>
      </w:r>
      <w:r>
        <w:rPr>
          <w:rFonts w:hint="eastAsia" w:ascii="仿宋_GB2312" w:hAnsi="仿宋_GB2312" w:eastAsia="仿宋_GB2312" w:cs="仿宋_GB2312"/>
          <w:color w:val="auto"/>
          <w:sz w:val="32"/>
          <w:szCs w:val="32"/>
          <w:u w:val="none"/>
          <w:lang w:val="en-US" w:eastAsia="zh-CN"/>
        </w:rPr>
        <w:t>基本规定，</w:t>
      </w:r>
      <w:r>
        <w:rPr>
          <w:rFonts w:hint="eastAsia" w:ascii="仿宋_GB2312" w:hAnsi="仿宋_GB2312" w:eastAsia="仿宋_GB2312" w:cs="仿宋_GB2312"/>
          <w:bCs/>
          <w:color w:val="auto"/>
          <w:sz w:val="32"/>
          <w:szCs w:val="32"/>
          <w:highlight w:val="none"/>
          <w:u w:val="none"/>
          <w:lang w:val="en-US" w:eastAsia="zh-CN"/>
        </w:rPr>
        <w:t>融安县</w:t>
      </w:r>
      <w:r>
        <w:rPr>
          <w:rFonts w:hint="eastAsia" w:ascii="仿宋_GB2312" w:hAnsi="仿宋_GB2312" w:eastAsia="仿宋_GB2312" w:cs="仿宋_GB2312"/>
          <w:color w:val="auto"/>
          <w:sz w:val="32"/>
          <w:szCs w:val="32"/>
          <w:u w:val="none"/>
          <w:lang w:val="en-US" w:eastAsia="zh-CN"/>
        </w:rPr>
        <w:t>建筑垃圾利用及处置应从源头进行分类，按照工程渣土、工程泥浆、工程垃圾、拆除垃圾和装修垃圾进行分类收集运输和处理，其中工程垃圾、拆除垃圾和装修垃圾，</w:t>
      </w:r>
      <w:r>
        <w:rPr>
          <w:rFonts w:hint="eastAsia" w:ascii="仿宋_GB2312" w:hAnsi="仿宋_GB2312" w:eastAsia="仿宋_GB2312" w:cs="仿宋_GB2312"/>
          <w:color w:val="auto"/>
          <w:sz w:val="32"/>
          <w:szCs w:val="32"/>
          <w:u w:val="none"/>
        </w:rPr>
        <w:t>施工现场分类应达到一级分类要求</w:t>
      </w:r>
      <w:r>
        <w:rPr>
          <w:rFonts w:hint="eastAsia" w:ascii="仿宋_GB2312" w:hAnsi="仿宋_GB2312" w:eastAsia="仿宋_GB2312" w:cs="仿宋_GB2312"/>
          <w:color w:val="auto"/>
          <w:sz w:val="32"/>
          <w:szCs w:val="32"/>
          <w:u w:val="none"/>
          <w:lang w:eastAsia="zh-CN"/>
        </w:rPr>
        <w:t>，</w:t>
      </w:r>
      <w:r>
        <w:rPr>
          <w:rFonts w:hint="eastAsia" w:ascii="仿宋_GB2312" w:hAnsi="仿宋_GB2312" w:eastAsia="仿宋_GB2312" w:cs="仿宋_GB2312"/>
          <w:color w:val="auto"/>
          <w:sz w:val="32"/>
          <w:szCs w:val="32"/>
          <w:u w:val="none"/>
        </w:rPr>
        <w:t>可根据实际与需要实行一级和二级中某类并存分类</w:t>
      </w:r>
      <w:r>
        <w:rPr>
          <w:rFonts w:hint="eastAsia" w:ascii="仿宋_GB2312" w:hAnsi="仿宋_GB2312" w:eastAsia="仿宋_GB2312" w:cs="仿宋_GB2312"/>
          <w:color w:val="auto"/>
          <w:sz w:val="32"/>
          <w:szCs w:val="32"/>
          <w:u w:val="none"/>
          <w:lang w:eastAsia="zh-CN"/>
        </w:rPr>
        <w:t>。</w:t>
      </w:r>
      <w:r>
        <w:rPr>
          <w:rFonts w:hint="eastAsia" w:ascii="仿宋_GB2312" w:hAnsi="仿宋_GB2312" w:eastAsia="仿宋_GB2312" w:cs="仿宋_GB2312"/>
          <w:color w:val="auto"/>
          <w:sz w:val="32"/>
          <w:szCs w:val="32"/>
          <w:u w:val="none"/>
          <w:lang w:val="en-US" w:eastAsia="zh-CN"/>
        </w:rPr>
        <w:t>在收运和处理全过程中不得混入生活垃圾、污泥、河道疏浚底泥、工业垃圾和危险废物等。全面推行建筑垃圾综合利用，鼓励利用建筑垃圾和就地直接利用和再生资源化利用，通过破碎、筛分、干化、改性、固化、烧结等技术生产再生骨料、路基路面材料、砌块、市政工程构配件等新型建材，拓展建筑垃圾再生产品应用。</w:t>
      </w:r>
    </w:p>
    <w:p w14:paraId="606346E1">
      <w:pPr>
        <w:pageBreakBefore w:val="0"/>
        <w:kinsoku/>
        <w:wordWrap/>
        <w:overflowPunct/>
        <w:topLinePunct w:val="0"/>
        <w:autoSpaceDE/>
        <w:autoSpaceDN/>
        <w:bidi w:val="0"/>
        <w:adjustRightInd/>
        <w:spacing w:beforeAutospacing="0" w:afterAutospacing="0" w:line="560" w:lineRule="exact"/>
        <w:ind w:left="0" w:leftChars="0" w:firstLine="640" w:firstLineChars="200"/>
        <w:textAlignment w:val="auto"/>
        <w:rPr>
          <w:rFonts w:hint="eastAsia" w:ascii="仿宋_GB2312" w:hAnsi="仿宋_GB2312" w:eastAsia="仿宋_GB2312" w:cs="仿宋_GB2312"/>
          <w:b w:val="0"/>
          <w:bCs/>
          <w:color w:val="auto"/>
          <w:sz w:val="32"/>
          <w:szCs w:val="32"/>
          <w:u w:val="none"/>
          <w:lang w:val="en-US" w:eastAsia="zh-CN"/>
        </w:rPr>
      </w:pPr>
      <w:r>
        <w:rPr>
          <w:rFonts w:hint="default" w:ascii="Times New Roman" w:hAnsi="Times New Roman" w:eastAsia="仿宋_GB2312" w:cs="Times New Roman"/>
          <w:b w:val="0"/>
          <w:bCs/>
          <w:color w:val="auto"/>
          <w:sz w:val="32"/>
          <w:szCs w:val="32"/>
          <w:u w:val="none"/>
          <w:lang w:val="en-US" w:eastAsia="zh-CN"/>
        </w:rPr>
        <w:t>2</w:t>
      </w:r>
      <w:r>
        <w:rPr>
          <w:rFonts w:hint="eastAsia" w:ascii="仿宋_GB2312" w:hAnsi="仿宋_GB2312" w:eastAsia="仿宋_GB2312" w:cs="仿宋_GB2312"/>
          <w:b w:val="0"/>
          <w:bCs/>
          <w:color w:val="auto"/>
          <w:sz w:val="32"/>
          <w:szCs w:val="32"/>
          <w:u w:val="none"/>
          <w:lang w:val="en-US" w:eastAsia="zh-CN"/>
        </w:rPr>
        <w:t>．工程渣土和工程泥浆</w:t>
      </w:r>
    </w:p>
    <w:p w14:paraId="0DAB93A5">
      <w:pPr>
        <w:keepNext w:val="0"/>
        <w:keepLines w:val="0"/>
        <w:pageBreakBefore w:val="0"/>
        <w:widowControl/>
        <w:suppressLineNumbers w:val="0"/>
        <w:kinsoku/>
        <w:wordWrap/>
        <w:overflowPunct/>
        <w:topLinePunct w:val="0"/>
        <w:autoSpaceDE/>
        <w:autoSpaceDN/>
        <w:bidi w:val="0"/>
        <w:adjustRightInd/>
        <w:spacing w:beforeAutospacing="0" w:afterAutospacing="0" w:line="560" w:lineRule="exact"/>
        <w:ind w:left="0" w:leftChars="0"/>
        <w:jc w:val="left"/>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b w:val="0"/>
          <w:bCs w:val="0"/>
          <w:sz w:val="32"/>
          <w:szCs w:val="32"/>
          <w:highlight w:val="none"/>
          <w:lang w:val="en-US" w:eastAsia="zh-CN"/>
        </w:rPr>
        <w:t>直接利用。</w:t>
      </w:r>
      <w:r>
        <w:rPr>
          <w:rFonts w:hint="eastAsia" w:ascii="仿宋_GB2312" w:hAnsi="仿宋_GB2312" w:eastAsia="仿宋_GB2312" w:cs="仿宋_GB2312"/>
          <w:b w:val="0"/>
          <w:bCs w:val="0"/>
          <w:color w:val="000000"/>
          <w:kern w:val="0"/>
          <w:sz w:val="32"/>
          <w:szCs w:val="32"/>
          <w:highlight w:val="none"/>
          <w:lang w:val="en-US" w:eastAsia="zh-CN" w:bidi="ar"/>
        </w:rPr>
        <w:t>工</w:t>
      </w:r>
      <w:r>
        <w:rPr>
          <w:rFonts w:hint="eastAsia" w:ascii="仿宋_GB2312" w:hAnsi="仿宋_GB2312" w:eastAsia="仿宋_GB2312" w:cs="仿宋_GB2312"/>
          <w:color w:val="000000"/>
          <w:kern w:val="0"/>
          <w:sz w:val="32"/>
          <w:szCs w:val="32"/>
          <w:highlight w:val="none"/>
          <w:lang w:val="en-US" w:eastAsia="zh-CN" w:bidi="ar"/>
        </w:rPr>
        <w:t>程渣土和固化后的工程泥浆大部分在源头减量环节通过区域土方调配方式进行直接利用，主要采用回填处理方式，其他直接利用方式包括堆土造景、采石场、山体复绿，复垦耕地、公路路基、工程项目回填等。</w:t>
      </w:r>
    </w:p>
    <w:p w14:paraId="661F6A0B">
      <w:pPr>
        <w:pageBreakBefore w:val="0"/>
        <w:kinsoku/>
        <w:wordWrap/>
        <w:overflowPunct/>
        <w:topLinePunct w:val="0"/>
        <w:autoSpaceDE/>
        <w:autoSpaceDN/>
        <w:bidi w:val="0"/>
        <w:adjustRightInd/>
        <w:spacing w:beforeAutospacing="0" w:afterAutospacing="0" w:line="560" w:lineRule="exact"/>
        <w:ind w:left="0" w:leftChars="0"/>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b w:val="0"/>
          <w:bCs w:val="0"/>
          <w:color w:val="auto"/>
          <w:sz w:val="32"/>
          <w:szCs w:val="32"/>
          <w:u w:val="none"/>
          <w:lang w:val="en-US" w:eastAsia="zh-CN"/>
        </w:rPr>
        <w:t>资源化利用。</w:t>
      </w:r>
      <w:r>
        <w:rPr>
          <w:rFonts w:hint="eastAsia" w:ascii="仿宋_GB2312" w:hAnsi="仿宋_GB2312" w:eastAsia="仿宋_GB2312" w:cs="仿宋_GB2312"/>
          <w:color w:val="auto"/>
          <w:sz w:val="32"/>
          <w:szCs w:val="32"/>
          <w:u w:val="none"/>
          <w:lang w:val="en-US" w:eastAsia="zh-CN"/>
        </w:rPr>
        <w:t>工程渣土上层土采用直接利用方式，下层土可用泥砂分离将分离的黏土与园林垃圾堆肥腐殖质土混合制备园林种植土，通过固化和压制生产为建筑用砖、再生砌砖、免烧瓷砖、文化装饰砖等产品；以黏土为原料，经成型和高温焙烧制得用于承重和非承重结构的各类块材、板材。工程泥浆经处理后可用作回填、场地覆盖或制备再生产品。工程泥浆分选后形成的砂、石骨料，其性能符合国家有关标准的，可用作再生粗（细）骨料、蒸压加气混凝土原料。</w:t>
      </w:r>
    </w:p>
    <w:p w14:paraId="0D83FDEF">
      <w:pPr>
        <w:pageBreakBefore w:val="0"/>
        <w:kinsoku/>
        <w:wordWrap/>
        <w:overflowPunct/>
        <w:topLinePunct w:val="0"/>
        <w:autoSpaceDE/>
        <w:autoSpaceDN/>
        <w:bidi w:val="0"/>
        <w:adjustRightInd/>
        <w:spacing w:beforeAutospacing="0" w:afterAutospacing="0" w:line="560" w:lineRule="exact"/>
        <w:ind w:left="0" w:leftChars="0"/>
        <w:textAlignment w:val="auto"/>
        <w:rPr>
          <w:rFonts w:hint="eastAsia" w:ascii="仿宋_GB2312" w:hAnsi="仿宋_GB2312" w:eastAsia="仿宋_GB2312" w:cs="仿宋_GB2312"/>
          <w:b/>
          <w:bCs/>
          <w:color w:val="auto"/>
          <w:sz w:val="32"/>
          <w:szCs w:val="32"/>
          <w:highlight w:val="none"/>
          <w:u w:val="none"/>
          <w:lang w:val="en-US" w:eastAsia="zh-CN"/>
        </w:rPr>
      </w:pPr>
      <w:r>
        <w:rPr>
          <w:rFonts w:hint="eastAsia" w:ascii="仿宋_GB2312" w:hAnsi="仿宋_GB2312" w:eastAsia="仿宋_GB2312" w:cs="仿宋_GB2312"/>
          <w:b w:val="0"/>
          <w:bCs w:val="0"/>
          <w:color w:val="auto"/>
          <w:sz w:val="32"/>
          <w:szCs w:val="32"/>
          <w:u w:val="none"/>
          <w:lang w:val="en-US" w:eastAsia="zh-CN"/>
        </w:rPr>
        <w:t>处置规划。</w:t>
      </w:r>
      <w:r>
        <w:rPr>
          <w:rFonts w:hint="eastAsia" w:ascii="仿宋_GB2312" w:hAnsi="仿宋_GB2312" w:eastAsia="仿宋_GB2312" w:cs="仿宋_GB2312"/>
          <w:color w:val="auto"/>
          <w:sz w:val="32"/>
          <w:szCs w:val="32"/>
          <w:u w:val="none"/>
          <w:lang w:val="en-US" w:eastAsia="zh-CN"/>
        </w:rPr>
        <w:t>工程渣土、工程泥浆可用于资源化利用、域内平衡、跨区域调剂平衡、生态修复利用、场地平整和无害化填埋处置。优先以市场自行的供需平衡为消纳途径；同时积极探索表层土壤利用措施，为城市绿化等工程提供优质种植土；工程渣土中含有毒有害等污染物质的，严禁进</w:t>
      </w:r>
      <w:r>
        <w:rPr>
          <w:rFonts w:hint="eastAsia" w:ascii="仿宋_GB2312" w:hAnsi="仿宋_GB2312" w:eastAsia="仿宋_GB2312" w:cs="仿宋_GB2312"/>
          <w:color w:val="auto"/>
          <w:sz w:val="32"/>
          <w:szCs w:val="32"/>
          <w:highlight w:val="none"/>
          <w:u w:val="none"/>
          <w:lang w:val="en-US" w:eastAsia="zh-CN"/>
        </w:rPr>
        <w:t>入回填场地，需委托有资质的单位进行无害化处理。</w:t>
      </w:r>
    </w:p>
    <w:p w14:paraId="735639E6">
      <w:pPr>
        <w:pageBreakBefore w:val="0"/>
        <w:kinsoku/>
        <w:wordWrap/>
        <w:overflowPunct/>
        <w:topLinePunct w:val="0"/>
        <w:autoSpaceDE/>
        <w:autoSpaceDN/>
        <w:bidi w:val="0"/>
        <w:adjustRightInd/>
        <w:spacing w:beforeAutospacing="0" w:afterAutospacing="0" w:line="560" w:lineRule="exact"/>
        <w:ind w:left="0" w:leftChars="0" w:firstLine="640" w:firstLineChars="200"/>
        <w:textAlignment w:val="auto"/>
        <w:rPr>
          <w:rFonts w:hint="eastAsia" w:ascii="仿宋_GB2312" w:hAnsi="仿宋_GB2312" w:eastAsia="仿宋_GB2312" w:cs="仿宋_GB2312"/>
          <w:b w:val="0"/>
          <w:bCs w:val="0"/>
          <w:color w:val="auto"/>
          <w:sz w:val="32"/>
          <w:szCs w:val="32"/>
          <w:highlight w:val="none"/>
          <w:u w:val="none"/>
          <w:lang w:val="en-US" w:eastAsia="zh-CN"/>
        </w:rPr>
      </w:pPr>
      <w:r>
        <w:rPr>
          <w:rFonts w:hint="default" w:ascii="Times New Roman" w:hAnsi="Times New Roman" w:eastAsia="仿宋_GB2312" w:cs="Times New Roman"/>
          <w:b w:val="0"/>
          <w:bCs w:val="0"/>
          <w:color w:val="auto"/>
          <w:sz w:val="32"/>
          <w:szCs w:val="32"/>
          <w:highlight w:val="none"/>
          <w:u w:val="none"/>
          <w:lang w:val="en-US" w:eastAsia="zh-CN"/>
        </w:rPr>
        <w:t>3</w:t>
      </w:r>
      <w:r>
        <w:rPr>
          <w:rFonts w:hint="eastAsia" w:ascii="仿宋_GB2312" w:hAnsi="仿宋_GB2312" w:eastAsia="仿宋_GB2312" w:cs="仿宋_GB2312"/>
          <w:b w:val="0"/>
          <w:bCs w:val="0"/>
          <w:color w:val="auto"/>
          <w:sz w:val="32"/>
          <w:szCs w:val="32"/>
          <w:highlight w:val="none"/>
          <w:u w:val="none"/>
          <w:lang w:val="en-US" w:eastAsia="zh-CN"/>
        </w:rPr>
        <w:t>．工程垃圾和拆除垃圾</w:t>
      </w:r>
    </w:p>
    <w:p w14:paraId="4F1AA138">
      <w:pPr>
        <w:pageBreakBefore w:val="0"/>
        <w:kinsoku/>
        <w:wordWrap/>
        <w:overflowPunct/>
        <w:topLinePunct w:val="0"/>
        <w:autoSpaceDE/>
        <w:autoSpaceDN/>
        <w:bidi w:val="0"/>
        <w:adjustRightInd/>
        <w:spacing w:beforeAutospacing="0" w:afterAutospacing="0" w:line="560" w:lineRule="exact"/>
        <w:ind w:left="0" w:leftChars="0"/>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b w:val="0"/>
          <w:bCs w:val="0"/>
          <w:color w:val="auto"/>
          <w:sz w:val="32"/>
          <w:szCs w:val="32"/>
          <w:highlight w:val="none"/>
          <w:u w:val="none"/>
          <w:lang w:val="en-US" w:eastAsia="zh-CN"/>
        </w:rPr>
        <w:t>直接利用。</w:t>
      </w:r>
      <w:r>
        <w:rPr>
          <w:rFonts w:hint="eastAsia" w:ascii="仿宋_GB2312" w:hAnsi="仿宋_GB2312" w:eastAsia="仿宋_GB2312" w:cs="仿宋_GB2312"/>
          <w:color w:val="auto"/>
          <w:sz w:val="32"/>
          <w:szCs w:val="32"/>
          <w:highlight w:val="none"/>
          <w:u w:val="none"/>
          <w:lang w:val="en-US" w:eastAsia="zh-CN"/>
        </w:rPr>
        <w:t>工程垃圾主要由散落的砂浆和混凝土、剔凿产生的</w:t>
      </w:r>
      <w:r>
        <w:rPr>
          <w:rFonts w:hint="eastAsia" w:ascii="仿宋_GB2312" w:hAnsi="仿宋_GB2312" w:eastAsia="仿宋_GB2312" w:cs="仿宋_GB2312"/>
          <w:color w:val="auto"/>
          <w:sz w:val="32"/>
          <w:szCs w:val="32"/>
          <w:u w:val="none"/>
          <w:lang w:val="en-US" w:eastAsia="zh-CN"/>
        </w:rPr>
        <w:t>砖石和混凝土碎块、打桩截下的钢筋混凝土桩头、废金属料、竹木材、各种包装材料组成，木材、金属等有价值的物质可进入废品回收体系，其余大部分直接用于渣土桩填料、夯扩桩填料，部分含有一定量的有毒有害成分，可采用无害化填埋处置。拆除垃圾主要是指各类旧建筑物、构筑物等拆除过程中产生的废弃物，旧建筑物拆除垃圾的组成与建筑物的结构有关，建筑物拆除垃圾中完整尺寸的砖块经收集整理可用于建筑施工工地的围墙、公路防护墙建设等，在兴建大型建筑、广场、市政设施时，可作为回填材料使用。</w:t>
      </w:r>
    </w:p>
    <w:p w14:paraId="0D6EA374">
      <w:pPr>
        <w:pageBreakBefore w:val="0"/>
        <w:kinsoku/>
        <w:wordWrap/>
        <w:overflowPunct/>
        <w:topLinePunct w:val="0"/>
        <w:autoSpaceDE/>
        <w:autoSpaceDN/>
        <w:bidi w:val="0"/>
        <w:adjustRightInd/>
        <w:spacing w:beforeAutospacing="0" w:afterAutospacing="0" w:line="560" w:lineRule="exact"/>
        <w:ind w:left="0" w:leftChars="0"/>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b w:val="0"/>
          <w:bCs w:val="0"/>
          <w:color w:val="auto"/>
          <w:sz w:val="32"/>
          <w:szCs w:val="32"/>
          <w:u w:val="none"/>
          <w:lang w:val="en-US" w:eastAsia="zh-CN"/>
        </w:rPr>
        <w:t>资源化利用。</w:t>
      </w:r>
      <w:r>
        <w:rPr>
          <w:rFonts w:hint="eastAsia" w:ascii="仿宋_GB2312" w:hAnsi="仿宋_GB2312" w:eastAsia="仿宋_GB2312" w:cs="仿宋_GB2312"/>
          <w:color w:val="auto"/>
          <w:sz w:val="32"/>
          <w:szCs w:val="32"/>
          <w:u w:val="none"/>
          <w:lang w:val="en-US" w:eastAsia="zh-CN"/>
        </w:rPr>
        <w:t>工程垃圾中的废弃混凝土优先用于生产再生骨料，废弃沥青混合料优先用于生产再生沥青混合料；废弃模板根据材质分类回收，竹木材质宜用作再生板材、纸张或生物质燃料等的原材料。拆除垃圾中的废弃混凝土、砂浆、石材、砖瓦、陶瓷可用于生产再生骨料砂浆、烧结再生砖、砌块的原材料；废弃沥青混合料可用于生产再生沥青混合料；废弃金属、木材、玻璃、塑料等根据材质分类回收利用。</w:t>
      </w:r>
    </w:p>
    <w:p w14:paraId="64DE5FB5">
      <w:pPr>
        <w:pageBreakBefore w:val="0"/>
        <w:kinsoku/>
        <w:wordWrap/>
        <w:overflowPunct/>
        <w:topLinePunct w:val="0"/>
        <w:autoSpaceDE/>
        <w:autoSpaceDN/>
        <w:bidi w:val="0"/>
        <w:adjustRightInd/>
        <w:spacing w:beforeAutospacing="0" w:afterAutospacing="0" w:line="560" w:lineRule="exact"/>
        <w:ind w:left="0" w:leftChars="0"/>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b w:val="0"/>
          <w:bCs w:val="0"/>
          <w:color w:val="auto"/>
          <w:sz w:val="32"/>
          <w:szCs w:val="32"/>
          <w:u w:val="none"/>
          <w:lang w:val="en-US" w:eastAsia="zh-CN"/>
        </w:rPr>
        <w:t>处置规划。</w:t>
      </w:r>
      <w:r>
        <w:rPr>
          <w:rFonts w:hint="eastAsia" w:ascii="仿宋_GB2312" w:hAnsi="仿宋_GB2312" w:eastAsia="仿宋_GB2312" w:cs="仿宋_GB2312"/>
          <w:color w:val="auto"/>
          <w:sz w:val="32"/>
          <w:szCs w:val="32"/>
          <w:u w:val="none"/>
          <w:lang w:val="en-US" w:eastAsia="zh-CN"/>
        </w:rPr>
        <w:t>工程垃圾和拆除垃圾中可资源化利用的成分较高，其中的金属、木材、玻璃等可回收再利用，采取资源化利用为主，消纳为辅的处理模式。此类建筑垃圾中混凝土、砖块等可再利用组分占比高，再利用经济效益好，重点为规范行业的市场监管，提高规模化效应和再利用水平。同时，结合大型集中的拆违和旧改工地，设置移动式建筑垃圾处理设施，就地破碎后形成建材骨料进行利用。</w:t>
      </w:r>
    </w:p>
    <w:p w14:paraId="22782688">
      <w:pPr>
        <w:pageBreakBefore w:val="0"/>
        <w:kinsoku/>
        <w:wordWrap/>
        <w:overflowPunct/>
        <w:topLinePunct w:val="0"/>
        <w:autoSpaceDE/>
        <w:autoSpaceDN/>
        <w:bidi w:val="0"/>
        <w:adjustRightInd/>
        <w:spacing w:beforeAutospacing="0" w:afterAutospacing="0" w:line="560" w:lineRule="exact"/>
        <w:ind w:left="0" w:leftChars="0"/>
        <w:jc w:val="center"/>
        <w:textAlignment w:val="auto"/>
        <w:rPr>
          <w:rFonts w:hint="eastAsia"/>
          <w:bCs/>
          <w:color w:val="auto"/>
          <w:sz w:val="24"/>
          <w:szCs w:val="24"/>
          <w:highlight w:val="none"/>
          <w:u w:val="none"/>
          <w:lang w:val="en-US" w:eastAsia="zh-CN"/>
        </w:rPr>
      </w:pPr>
      <w:r>
        <w:rPr>
          <w:rFonts w:hint="eastAsia" w:ascii="仿宋_GB2312" w:hAnsi="仿宋_GB2312" w:eastAsia="仿宋_GB2312" w:cs="仿宋_GB2312"/>
          <w:bCs/>
          <w:color w:val="auto"/>
          <w:sz w:val="32"/>
          <w:szCs w:val="32"/>
          <w:highlight w:val="none"/>
          <w:u w:val="none"/>
          <w:lang w:val="en-US" w:eastAsia="zh-CN"/>
        </w:rPr>
        <w:t>表：工程垃圾分类及无害化处理方式</w:t>
      </w:r>
    </w:p>
    <w:tbl>
      <w:tblPr>
        <w:tblStyle w:val="17"/>
        <w:tblW w:w="978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6"/>
        <w:gridCol w:w="2033"/>
        <w:gridCol w:w="3437"/>
        <w:gridCol w:w="2658"/>
      </w:tblGrid>
      <w:tr w14:paraId="4A7927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blHeader/>
          <w:jc w:val="center"/>
        </w:trPr>
        <w:tc>
          <w:tcPr>
            <w:tcW w:w="1656" w:type="dxa"/>
            <w:vAlign w:val="center"/>
          </w:tcPr>
          <w:p w14:paraId="31B08608">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黑体" w:hAnsi="黑体" w:eastAsia="黑体" w:cs="黑体"/>
                <w:color w:val="auto"/>
                <w:sz w:val="24"/>
                <w:szCs w:val="24"/>
                <w:highlight w:val="none"/>
                <w:u w:val="none"/>
                <w:vertAlign w:val="baseline"/>
                <w:lang w:eastAsia="zh-CN"/>
              </w:rPr>
            </w:pPr>
            <w:r>
              <w:rPr>
                <w:rFonts w:hint="eastAsia" w:ascii="黑体" w:hAnsi="黑体" w:eastAsia="黑体" w:cs="黑体"/>
                <w:color w:val="auto"/>
                <w:sz w:val="24"/>
                <w:szCs w:val="24"/>
                <w:highlight w:val="none"/>
                <w:u w:val="none"/>
                <w:vertAlign w:val="baseline"/>
                <w:lang w:eastAsia="zh-CN"/>
              </w:rPr>
              <w:t>一级分类</w:t>
            </w:r>
          </w:p>
        </w:tc>
        <w:tc>
          <w:tcPr>
            <w:tcW w:w="2033" w:type="dxa"/>
            <w:vAlign w:val="center"/>
          </w:tcPr>
          <w:p w14:paraId="3D8B8DFA">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黑体" w:hAnsi="黑体" w:eastAsia="黑体" w:cs="黑体"/>
                <w:color w:val="auto"/>
                <w:sz w:val="24"/>
                <w:szCs w:val="24"/>
                <w:highlight w:val="none"/>
                <w:u w:val="none"/>
                <w:vertAlign w:val="baseline"/>
                <w:lang w:eastAsia="zh-CN"/>
              </w:rPr>
            </w:pPr>
            <w:r>
              <w:rPr>
                <w:rFonts w:hint="eastAsia" w:ascii="黑体" w:hAnsi="黑体" w:eastAsia="黑体" w:cs="黑体"/>
                <w:color w:val="auto"/>
                <w:sz w:val="24"/>
                <w:szCs w:val="24"/>
                <w:highlight w:val="none"/>
                <w:u w:val="none"/>
                <w:vertAlign w:val="baseline"/>
                <w:lang w:eastAsia="zh-CN"/>
              </w:rPr>
              <w:t>二级分类</w:t>
            </w:r>
          </w:p>
        </w:tc>
        <w:tc>
          <w:tcPr>
            <w:tcW w:w="3437" w:type="dxa"/>
            <w:vAlign w:val="center"/>
          </w:tcPr>
          <w:p w14:paraId="1DC5667D">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黑体" w:hAnsi="黑体" w:eastAsia="黑体" w:cs="黑体"/>
                <w:color w:val="auto"/>
                <w:sz w:val="24"/>
                <w:szCs w:val="24"/>
                <w:highlight w:val="none"/>
                <w:u w:val="none"/>
                <w:vertAlign w:val="baseline"/>
                <w:lang w:eastAsia="zh-CN"/>
              </w:rPr>
            </w:pPr>
            <w:r>
              <w:rPr>
                <w:rFonts w:hint="eastAsia" w:ascii="黑体" w:hAnsi="黑体" w:eastAsia="黑体" w:cs="黑体"/>
                <w:color w:val="auto"/>
                <w:sz w:val="24"/>
                <w:szCs w:val="24"/>
                <w:highlight w:val="none"/>
                <w:u w:val="none"/>
                <w:vertAlign w:val="baseline"/>
                <w:lang w:eastAsia="zh-CN"/>
              </w:rPr>
              <w:t>主要来源</w:t>
            </w:r>
          </w:p>
        </w:tc>
        <w:tc>
          <w:tcPr>
            <w:tcW w:w="2658" w:type="dxa"/>
            <w:vAlign w:val="center"/>
          </w:tcPr>
          <w:p w14:paraId="20DB9A20">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黑体" w:hAnsi="黑体" w:eastAsia="黑体" w:cs="黑体"/>
                <w:color w:val="auto"/>
                <w:sz w:val="24"/>
                <w:szCs w:val="24"/>
                <w:highlight w:val="none"/>
                <w:u w:val="none"/>
                <w:vertAlign w:val="baseline"/>
                <w:lang w:eastAsia="zh-CN"/>
              </w:rPr>
            </w:pPr>
            <w:r>
              <w:rPr>
                <w:rFonts w:hint="eastAsia" w:ascii="黑体" w:hAnsi="黑体" w:eastAsia="黑体" w:cs="黑体"/>
                <w:color w:val="auto"/>
                <w:sz w:val="24"/>
                <w:szCs w:val="24"/>
                <w:highlight w:val="none"/>
                <w:u w:val="none"/>
                <w:vertAlign w:val="baseline"/>
                <w:lang w:eastAsia="zh-CN"/>
              </w:rPr>
              <w:t>无害化处理方式</w:t>
            </w:r>
          </w:p>
        </w:tc>
      </w:tr>
      <w:tr w14:paraId="39CACC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656" w:type="dxa"/>
            <w:vMerge w:val="restart"/>
            <w:vAlign w:val="center"/>
          </w:tcPr>
          <w:p w14:paraId="5690D761">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highlight w:val="none"/>
                <w:u w:val="none"/>
                <w:vertAlign w:val="baseline"/>
                <w:lang w:eastAsia="zh-CN"/>
              </w:rPr>
            </w:pPr>
            <w:r>
              <w:rPr>
                <w:rFonts w:hint="eastAsia" w:ascii="仿宋_GB2312" w:hAnsi="仿宋_GB2312" w:eastAsia="仿宋_GB2312" w:cs="仿宋_GB2312"/>
                <w:color w:val="auto"/>
                <w:sz w:val="24"/>
                <w:szCs w:val="24"/>
                <w:highlight w:val="none"/>
                <w:u w:val="none"/>
                <w:vertAlign w:val="baseline"/>
                <w:lang w:eastAsia="zh-CN"/>
              </w:rPr>
              <w:t>无机非金属类</w:t>
            </w:r>
          </w:p>
        </w:tc>
        <w:tc>
          <w:tcPr>
            <w:tcW w:w="2033" w:type="dxa"/>
            <w:vAlign w:val="center"/>
          </w:tcPr>
          <w:p w14:paraId="0814A0E6">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highlight w:val="none"/>
                <w:u w:val="none"/>
                <w:vertAlign w:val="baseline"/>
              </w:rPr>
            </w:pPr>
            <w:r>
              <w:rPr>
                <w:rFonts w:hint="eastAsia" w:ascii="仿宋_GB2312" w:hAnsi="仿宋_GB2312" w:eastAsia="仿宋_GB2312" w:cs="仿宋_GB2312"/>
                <w:color w:val="auto"/>
                <w:sz w:val="24"/>
                <w:szCs w:val="24"/>
                <w:highlight w:val="none"/>
                <w:u w:val="none"/>
                <w:vertAlign w:val="baseline"/>
              </w:rPr>
              <w:t>混凝土、水泥制品</w:t>
            </w:r>
            <w:r>
              <w:rPr>
                <w:rFonts w:hint="eastAsia" w:ascii="仿宋_GB2312" w:hAnsi="仿宋_GB2312" w:eastAsia="仿宋_GB2312" w:cs="仿宋_GB2312"/>
                <w:color w:val="auto"/>
                <w:sz w:val="24"/>
                <w:szCs w:val="24"/>
                <w:highlight w:val="none"/>
                <w:u w:val="none"/>
                <w:vertAlign w:val="baseline"/>
                <w:lang w:eastAsia="zh-CN"/>
              </w:rPr>
              <w:t>、</w:t>
            </w:r>
            <w:r>
              <w:rPr>
                <w:rFonts w:hint="eastAsia" w:ascii="仿宋_GB2312" w:hAnsi="仿宋_GB2312" w:eastAsia="仿宋_GB2312" w:cs="仿宋_GB2312"/>
                <w:color w:val="auto"/>
                <w:sz w:val="24"/>
                <w:szCs w:val="24"/>
                <w:highlight w:val="none"/>
                <w:u w:val="none"/>
                <w:vertAlign w:val="baseline"/>
              </w:rPr>
              <w:t>砂石</w:t>
            </w:r>
          </w:p>
        </w:tc>
        <w:tc>
          <w:tcPr>
            <w:tcW w:w="3437" w:type="dxa"/>
            <w:vAlign w:val="center"/>
          </w:tcPr>
          <w:p w14:paraId="08EFBFE9">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highlight w:val="none"/>
                <w:u w:val="none"/>
                <w:vertAlign w:val="baseline"/>
              </w:rPr>
            </w:pPr>
            <w:r>
              <w:rPr>
                <w:rFonts w:hint="eastAsia" w:ascii="仿宋_GB2312" w:hAnsi="仿宋_GB2312" w:eastAsia="仿宋_GB2312" w:cs="仿宋_GB2312"/>
                <w:color w:val="auto"/>
                <w:sz w:val="24"/>
                <w:szCs w:val="24"/>
                <w:highlight w:val="none"/>
                <w:u w:val="none"/>
                <w:vertAlign w:val="baseline"/>
              </w:rPr>
              <w:t>清除作业包括清除混凝土类临时支撑构件、截断的桩头，场地清理</w:t>
            </w:r>
            <w:r>
              <w:rPr>
                <w:rFonts w:hint="eastAsia" w:ascii="仿宋_GB2312" w:hAnsi="仿宋_GB2312" w:eastAsia="仿宋_GB2312" w:cs="仿宋_GB2312"/>
                <w:color w:val="auto"/>
                <w:sz w:val="24"/>
                <w:szCs w:val="24"/>
                <w:highlight w:val="none"/>
                <w:u w:val="none"/>
                <w:vertAlign w:val="baseline"/>
                <w:lang w:eastAsia="zh-CN"/>
              </w:rPr>
              <w:t>、</w:t>
            </w:r>
            <w:r>
              <w:rPr>
                <w:rFonts w:hint="eastAsia" w:ascii="仿宋_GB2312" w:hAnsi="仿宋_GB2312" w:eastAsia="仿宋_GB2312" w:cs="仿宋_GB2312"/>
                <w:color w:val="auto"/>
                <w:sz w:val="24"/>
                <w:szCs w:val="24"/>
                <w:highlight w:val="none"/>
                <w:u w:val="none"/>
                <w:vertAlign w:val="baseline"/>
              </w:rPr>
              <w:t>场地建筑材料剩余</w:t>
            </w:r>
          </w:p>
        </w:tc>
        <w:tc>
          <w:tcPr>
            <w:tcW w:w="2658" w:type="dxa"/>
            <w:vAlign w:val="center"/>
          </w:tcPr>
          <w:p w14:paraId="0F033C81">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highlight w:val="none"/>
                <w:u w:val="none"/>
                <w:vertAlign w:val="baseline"/>
                <w:lang w:eastAsia="zh-CN"/>
              </w:rPr>
            </w:pPr>
            <w:r>
              <w:rPr>
                <w:rFonts w:hint="eastAsia" w:ascii="仿宋_GB2312" w:hAnsi="仿宋_GB2312" w:eastAsia="仿宋_GB2312" w:cs="仿宋_GB2312"/>
                <w:color w:val="auto"/>
                <w:sz w:val="24"/>
                <w:szCs w:val="24"/>
                <w:highlight w:val="none"/>
                <w:u w:val="none"/>
                <w:vertAlign w:val="baseline"/>
                <w:lang w:eastAsia="zh-CN"/>
              </w:rPr>
              <w:t>资源化利用</w:t>
            </w:r>
          </w:p>
        </w:tc>
      </w:tr>
      <w:tr w14:paraId="01E6FC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56" w:type="dxa"/>
            <w:vMerge w:val="continue"/>
            <w:vAlign w:val="center"/>
          </w:tcPr>
          <w:p w14:paraId="37D6AD71">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highlight w:val="none"/>
                <w:u w:val="none"/>
                <w:vertAlign w:val="baseline"/>
              </w:rPr>
            </w:pPr>
          </w:p>
        </w:tc>
        <w:tc>
          <w:tcPr>
            <w:tcW w:w="2033" w:type="dxa"/>
            <w:vAlign w:val="center"/>
          </w:tcPr>
          <w:p w14:paraId="1BD6A315">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highlight w:val="none"/>
                <w:u w:val="none"/>
                <w:vertAlign w:val="baseline"/>
              </w:rPr>
            </w:pPr>
            <w:r>
              <w:rPr>
                <w:rFonts w:hint="eastAsia" w:ascii="仿宋_GB2312" w:hAnsi="仿宋_GB2312" w:eastAsia="仿宋_GB2312" w:cs="仿宋_GB2312"/>
                <w:color w:val="auto"/>
                <w:sz w:val="24"/>
                <w:szCs w:val="24"/>
                <w:highlight w:val="none"/>
                <w:u w:val="none"/>
                <w:vertAlign w:val="baseline"/>
              </w:rPr>
              <w:t>砖瓦、陶瓷、砂浆</w:t>
            </w:r>
            <w:r>
              <w:rPr>
                <w:rFonts w:hint="eastAsia" w:ascii="仿宋_GB2312" w:hAnsi="仿宋_GB2312" w:eastAsia="仿宋_GB2312" w:cs="仿宋_GB2312"/>
                <w:color w:val="auto"/>
                <w:sz w:val="24"/>
                <w:szCs w:val="24"/>
                <w:highlight w:val="none"/>
                <w:u w:val="none"/>
                <w:vertAlign w:val="baseline"/>
                <w:lang w:eastAsia="zh-CN"/>
              </w:rPr>
              <w:t>、</w:t>
            </w:r>
            <w:r>
              <w:rPr>
                <w:rFonts w:hint="eastAsia" w:ascii="仿宋_GB2312" w:hAnsi="仿宋_GB2312" w:eastAsia="仿宋_GB2312" w:cs="仿宋_GB2312"/>
                <w:color w:val="auto"/>
                <w:sz w:val="24"/>
                <w:szCs w:val="24"/>
                <w:highlight w:val="none"/>
                <w:u w:val="none"/>
                <w:vertAlign w:val="baseline"/>
              </w:rPr>
              <w:t>轻型墙体材料</w:t>
            </w:r>
          </w:p>
        </w:tc>
        <w:tc>
          <w:tcPr>
            <w:tcW w:w="3437" w:type="dxa"/>
            <w:vAlign w:val="center"/>
          </w:tcPr>
          <w:p w14:paraId="35EEE75E">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highlight w:val="none"/>
                <w:u w:val="none"/>
                <w:vertAlign w:val="baseline"/>
              </w:rPr>
            </w:pPr>
            <w:r>
              <w:rPr>
                <w:rFonts w:hint="eastAsia" w:ascii="仿宋_GB2312" w:hAnsi="仿宋_GB2312" w:eastAsia="仿宋_GB2312" w:cs="仿宋_GB2312"/>
                <w:color w:val="auto"/>
                <w:sz w:val="24"/>
                <w:szCs w:val="24"/>
                <w:highlight w:val="none"/>
                <w:u w:val="none"/>
                <w:vertAlign w:val="baseline"/>
              </w:rPr>
              <w:t>场地清理</w:t>
            </w:r>
            <w:r>
              <w:rPr>
                <w:rFonts w:hint="eastAsia" w:ascii="仿宋_GB2312" w:hAnsi="仿宋_GB2312" w:eastAsia="仿宋_GB2312" w:cs="仿宋_GB2312"/>
                <w:color w:val="auto"/>
                <w:sz w:val="24"/>
                <w:szCs w:val="24"/>
                <w:highlight w:val="none"/>
                <w:u w:val="none"/>
                <w:vertAlign w:val="baseline"/>
                <w:lang w:eastAsia="zh-CN"/>
              </w:rPr>
              <w:t>、</w:t>
            </w:r>
            <w:r>
              <w:rPr>
                <w:rFonts w:hint="eastAsia" w:ascii="仿宋_GB2312" w:hAnsi="仿宋_GB2312" w:eastAsia="仿宋_GB2312" w:cs="仿宋_GB2312"/>
                <w:color w:val="auto"/>
                <w:sz w:val="24"/>
                <w:szCs w:val="24"/>
                <w:highlight w:val="none"/>
                <w:u w:val="none"/>
                <w:vertAlign w:val="baseline"/>
              </w:rPr>
              <w:t>场地建筑材料剩余、破损的废弃材料</w:t>
            </w:r>
          </w:p>
        </w:tc>
        <w:tc>
          <w:tcPr>
            <w:tcW w:w="2658" w:type="dxa"/>
            <w:vAlign w:val="center"/>
          </w:tcPr>
          <w:p w14:paraId="28226F65">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kern w:val="2"/>
                <w:sz w:val="24"/>
                <w:szCs w:val="24"/>
                <w:highlight w:val="none"/>
                <w:u w:val="none"/>
                <w:vertAlign w:val="baseline"/>
                <w:lang w:val="en-US" w:eastAsia="zh-CN" w:bidi="ar-SA"/>
              </w:rPr>
            </w:pPr>
            <w:r>
              <w:rPr>
                <w:rFonts w:hint="eastAsia" w:ascii="仿宋_GB2312" w:hAnsi="仿宋_GB2312" w:eastAsia="仿宋_GB2312" w:cs="仿宋_GB2312"/>
                <w:color w:val="auto"/>
                <w:sz w:val="24"/>
                <w:szCs w:val="24"/>
                <w:highlight w:val="none"/>
                <w:u w:val="none"/>
                <w:vertAlign w:val="baseline"/>
                <w:lang w:eastAsia="zh-CN"/>
              </w:rPr>
              <w:t>资源化利用</w:t>
            </w:r>
          </w:p>
        </w:tc>
      </w:tr>
      <w:tr w14:paraId="1FEBB1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56" w:type="dxa"/>
            <w:vMerge w:val="restart"/>
            <w:vAlign w:val="center"/>
          </w:tcPr>
          <w:p w14:paraId="24508CDF">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highlight w:val="none"/>
                <w:u w:val="none"/>
                <w:vertAlign w:val="baseline"/>
              </w:rPr>
            </w:pPr>
            <w:r>
              <w:rPr>
                <w:rFonts w:hint="eastAsia" w:ascii="仿宋_GB2312" w:hAnsi="仿宋_GB2312" w:eastAsia="仿宋_GB2312" w:cs="仿宋_GB2312"/>
                <w:color w:val="auto"/>
                <w:sz w:val="24"/>
                <w:szCs w:val="24"/>
                <w:highlight w:val="none"/>
                <w:u w:val="none"/>
                <w:vertAlign w:val="baseline"/>
              </w:rPr>
              <w:t>金属类</w:t>
            </w:r>
          </w:p>
        </w:tc>
        <w:tc>
          <w:tcPr>
            <w:tcW w:w="2033" w:type="dxa"/>
            <w:vAlign w:val="center"/>
          </w:tcPr>
          <w:p w14:paraId="786CD1BD">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highlight w:val="none"/>
                <w:u w:val="none"/>
                <w:vertAlign w:val="baseline"/>
              </w:rPr>
            </w:pPr>
            <w:r>
              <w:rPr>
                <w:rFonts w:hint="eastAsia" w:ascii="仿宋_GB2312" w:hAnsi="仿宋_GB2312" w:eastAsia="仿宋_GB2312" w:cs="仿宋_GB2312"/>
                <w:color w:val="auto"/>
                <w:sz w:val="24"/>
                <w:szCs w:val="24"/>
                <w:highlight w:val="none"/>
                <w:u w:val="none"/>
                <w:vertAlign w:val="baseline"/>
              </w:rPr>
              <w:t>钢铁</w:t>
            </w:r>
          </w:p>
        </w:tc>
        <w:tc>
          <w:tcPr>
            <w:tcW w:w="3437" w:type="dxa"/>
            <w:vAlign w:val="center"/>
          </w:tcPr>
          <w:p w14:paraId="16D77188">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highlight w:val="none"/>
                <w:u w:val="none"/>
                <w:vertAlign w:val="baseline"/>
              </w:rPr>
            </w:pPr>
            <w:r>
              <w:rPr>
                <w:rFonts w:hint="eastAsia" w:ascii="仿宋_GB2312" w:hAnsi="仿宋_GB2312" w:eastAsia="仿宋_GB2312" w:cs="仿宋_GB2312"/>
                <w:color w:val="auto"/>
                <w:sz w:val="24"/>
                <w:szCs w:val="24"/>
                <w:highlight w:val="none"/>
                <w:u w:val="none"/>
                <w:vertAlign w:val="baseline"/>
              </w:rPr>
              <w:t>部件加工边角料、损坏的工具等废弃材料</w:t>
            </w:r>
          </w:p>
        </w:tc>
        <w:tc>
          <w:tcPr>
            <w:tcW w:w="2658" w:type="dxa"/>
            <w:vAlign w:val="center"/>
          </w:tcPr>
          <w:p w14:paraId="72835CCF">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highlight w:val="none"/>
                <w:u w:val="none"/>
                <w:vertAlign w:val="baseline"/>
                <w:lang w:eastAsia="zh-CN"/>
              </w:rPr>
            </w:pPr>
            <w:r>
              <w:rPr>
                <w:rFonts w:hint="eastAsia" w:ascii="仿宋_GB2312" w:hAnsi="仿宋_GB2312" w:eastAsia="仿宋_GB2312" w:cs="仿宋_GB2312"/>
                <w:color w:val="auto"/>
                <w:sz w:val="24"/>
                <w:szCs w:val="24"/>
                <w:highlight w:val="none"/>
                <w:u w:val="none"/>
                <w:vertAlign w:val="baseline"/>
                <w:lang w:eastAsia="zh-CN"/>
              </w:rPr>
              <w:t>专业企业直接回收利用</w:t>
            </w:r>
          </w:p>
        </w:tc>
      </w:tr>
      <w:tr w14:paraId="17EF48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56" w:type="dxa"/>
            <w:vMerge w:val="continue"/>
            <w:vAlign w:val="center"/>
          </w:tcPr>
          <w:p w14:paraId="3B0EEDB7">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highlight w:val="none"/>
                <w:u w:val="none"/>
                <w:vertAlign w:val="baseline"/>
              </w:rPr>
            </w:pPr>
          </w:p>
        </w:tc>
        <w:tc>
          <w:tcPr>
            <w:tcW w:w="2033" w:type="dxa"/>
            <w:vAlign w:val="center"/>
          </w:tcPr>
          <w:p w14:paraId="052E68CE">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highlight w:val="none"/>
                <w:u w:val="none"/>
                <w:vertAlign w:val="baseline"/>
                <w:lang w:eastAsia="zh-CN"/>
              </w:rPr>
            </w:pPr>
            <w:r>
              <w:rPr>
                <w:rFonts w:hint="eastAsia" w:ascii="仿宋_GB2312" w:hAnsi="仿宋_GB2312" w:eastAsia="仿宋_GB2312" w:cs="仿宋_GB2312"/>
                <w:color w:val="auto"/>
                <w:sz w:val="24"/>
                <w:szCs w:val="24"/>
                <w:highlight w:val="none"/>
                <w:u w:val="none"/>
                <w:vertAlign w:val="baseline"/>
                <w:lang w:eastAsia="zh-CN"/>
              </w:rPr>
              <w:t>铝</w:t>
            </w:r>
          </w:p>
        </w:tc>
        <w:tc>
          <w:tcPr>
            <w:tcW w:w="3437" w:type="dxa"/>
            <w:vAlign w:val="center"/>
          </w:tcPr>
          <w:p w14:paraId="046F8B52">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highlight w:val="none"/>
                <w:u w:val="none"/>
                <w:vertAlign w:val="baseline"/>
              </w:rPr>
            </w:pPr>
            <w:r>
              <w:rPr>
                <w:rFonts w:hint="eastAsia" w:ascii="仿宋_GB2312" w:hAnsi="仿宋_GB2312" w:eastAsia="仿宋_GB2312" w:cs="仿宋_GB2312"/>
                <w:color w:val="auto"/>
                <w:sz w:val="24"/>
                <w:szCs w:val="24"/>
                <w:highlight w:val="none"/>
                <w:u w:val="none"/>
                <w:vertAlign w:val="baseline"/>
              </w:rPr>
              <w:t>部件加工边角料、线缆弃料</w:t>
            </w:r>
          </w:p>
        </w:tc>
        <w:tc>
          <w:tcPr>
            <w:tcW w:w="2658" w:type="dxa"/>
            <w:vAlign w:val="center"/>
          </w:tcPr>
          <w:p w14:paraId="1525B4E2">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kern w:val="2"/>
                <w:sz w:val="24"/>
                <w:szCs w:val="24"/>
                <w:highlight w:val="none"/>
                <w:u w:val="none"/>
                <w:vertAlign w:val="baseline"/>
                <w:lang w:val="en-US" w:eastAsia="zh-CN" w:bidi="ar-SA"/>
              </w:rPr>
            </w:pPr>
            <w:r>
              <w:rPr>
                <w:rFonts w:hint="eastAsia" w:ascii="仿宋_GB2312" w:hAnsi="仿宋_GB2312" w:eastAsia="仿宋_GB2312" w:cs="仿宋_GB2312"/>
                <w:color w:val="auto"/>
                <w:sz w:val="24"/>
                <w:szCs w:val="24"/>
                <w:highlight w:val="none"/>
                <w:u w:val="none"/>
                <w:vertAlign w:val="baseline"/>
                <w:lang w:eastAsia="zh-CN"/>
              </w:rPr>
              <w:t>专业企业直接回收利用</w:t>
            </w:r>
          </w:p>
        </w:tc>
      </w:tr>
      <w:tr w14:paraId="50ADAF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56" w:type="dxa"/>
            <w:vMerge w:val="continue"/>
            <w:vAlign w:val="center"/>
          </w:tcPr>
          <w:p w14:paraId="3EB65798">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highlight w:val="none"/>
                <w:u w:val="none"/>
                <w:vertAlign w:val="baseline"/>
              </w:rPr>
            </w:pPr>
          </w:p>
        </w:tc>
        <w:tc>
          <w:tcPr>
            <w:tcW w:w="2033" w:type="dxa"/>
            <w:vAlign w:val="center"/>
          </w:tcPr>
          <w:p w14:paraId="6204E9F9">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highlight w:val="none"/>
                <w:u w:val="none"/>
                <w:vertAlign w:val="baseline"/>
              </w:rPr>
            </w:pPr>
            <w:r>
              <w:rPr>
                <w:rFonts w:hint="eastAsia" w:ascii="仿宋_GB2312" w:hAnsi="仿宋_GB2312" w:eastAsia="仿宋_GB2312" w:cs="仿宋_GB2312"/>
                <w:color w:val="auto"/>
                <w:sz w:val="24"/>
                <w:szCs w:val="24"/>
                <w:highlight w:val="none"/>
                <w:u w:val="none"/>
                <w:vertAlign w:val="baseline"/>
              </w:rPr>
              <w:t>铜</w:t>
            </w:r>
          </w:p>
        </w:tc>
        <w:tc>
          <w:tcPr>
            <w:tcW w:w="3437" w:type="dxa"/>
            <w:vAlign w:val="center"/>
          </w:tcPr>
          <w:p w14:paraId="366F5C22">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highlight w:val="none"/>
                <w:u w:val="none"/>
                <w:vertAlign w:val="baseline"/>
              </w:rPr>
            </w:pPr>
            <w:r>
              <w:rPr>
                <w:rFonts w:hint="eastAsia" w:ascii="仿宋_GB2312" w:hAnsi="仿宋_GB2312" w:eastAsia="仿宋_GB2312" w:cs="仿宋_GB2312"/>
                <w:color w:val="auto"/>
                <w:sz w:val="24"/>
                <w:szCs w:val="24"/>
                <w:highlight w:val="none"/>
                <w:u w:val="none"/>
                <w:vertAlign w:val="baseline"/>
              </w:rPr>
              <w:t>部件加工边角料、线缆弃料</w:t>
            </w:r>
          </w:p>
        </w:tc>
        <w:tc>
          <w:tcPr>
            <w:tcW w:w="2658" w:type="dxa"/>
            <w:vAlign w:val="center"/>
          </w:tcPr>
          <w:p w14:paraId="694FAB27">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kern w:val="2"/>
                <w:sz w:val="24"/>
                <w:szCs w:val="24"/>
                <w:highlight w:val="none"/>
                <w:u w:val="none"/>
                <w:vertAlign w:val="baseline"/>
                <w:lang w:val="en-US" w:eastAsia="zh-CN" w:bidi="ar-SA"/>
              </w:rPr>
            </w:pPr>
            <w:r>
              <w:rPr>
                <w:rFonts w:hint="eastAsia" w:ascii="仿宋_GB2312" w:hAnsi="仿宋_GB2312" w:eastAsia="仿宋_GB2312" w:cs="仿宋_GB2312"/>
                <w:color w:val="auto"/>
                <w:sz w:val="24"/>
                <w:szCs w:val="24"/>
                <w:highlight w:val="none"/>
                <w:u w:val="none"/>
                <w:vertAlign w:val="baseline"/>
                <w:lang w:eastAsia="zh-CN"/>
              </w:rPr>
              <w:t>专业企业直接回收利用</w:t>
            </w:r>
          </w:p>
        </w:tc>
      </w:tr>
      <w:tr w14:paraId="610F46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56" w:type="dxa"/>
            <w:vMerge w:val="restart"/>
            <w:vAlign w:val="center"/>
          </w:tcPr>
          <w:p w14:paraId="75919E97">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highlight w:val="none"/>
                <w:u w:val="none"/>
                <w:vertAlign w:val="baseline"/>
                <w:lang w:eastAsia="zh-CN"/>
              </w:rPr>
            </w:pPr>
            <w:r>
              <w:rPr>
                <w:rFonts w:hint="eastAsia" w:ascii="仿宋_GB2312" w:hAnsi="仿宋_GB2312" w:eastAsia="仿宋_GB2312" w:cs="仿宋_GB2312"/>
                <w:color w:val="auto"/>
                <w:sz w:val="24"/>
                <w:szCs w:val="24"/>
                <w:highlight w:val="none"/>
                <w:u w:val="none"/>
                <w:vertAlign w:val="baseline"/>
                <w:lang w:eastAsia="zh-CN"/>
              </w:rPr>
              <w:t>有机类</w:t>
            </w:r>
          </w:p>
        </w:tc>
        <w:tc>
          <w:tcPr>
            <w:tcW w:w="2033" w:type="dxa"/>
            <w:vAlign w:val="center"/>
          </w:tcPr>
          <w:p w14:paraId="03C6D536">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highlight w:val="none"/>
                <w:u w:val="none"/>
                <w:vertAlign w:val="baseline"/>
              </w:rPr>
            </w:pPr>
            <w:r>
              <w:rPr>
                <w:rFonts w:hint="eastAsia" w:ascii="仿宋_GB2312" w:hAnsi="仿宋_GB2312" w:eastAsia="仿宋_GB2312" w:cs="仿宋_GB2312"/>
                <w:color w:val="auto"/>
                <w:sz w:val="24"/>
                <w:szCs w:val="24"/>
                <w:highlight w:val="none"/>
                <w:u w:val="none"/>
                <w:vertAlign w:val="baseline"/>
              </w:rPr>
              <w:t>木材</w:t>
            </w:r>
          </w:p>
        </w:tc>
        <w:tc>
          <w:tcPr>
            <w:tcW w:w="3437" w:type="dxa"/>
            <w:vAlign w:val="center"/>
          </w:tcPr>
          <w:p w14:paraId="4589E9E2">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highlight w:val="none"/>
                <w:u w:val="none"/>
                <w:vertAlign w:val="baseline"/>
              </w:rPr>
            </w:pPr>
            <w:r>
              <w:rPr>
                <w:rFonts w:hint="eastAsia" w:ascii="仿宋_GB2312" w:hAnsi="仿宋_GB2312" w:eastAsia="仿宋_GB2312" w:cs="仿宋_GB2312"/>
                <w:color w:val="auto"/>
                <w:sz w:val="24"/>
                <w:szCs w:val="24"/>
                <w:highlight w:val="none"/>
                <w:u w:val="none"/>
                <w:vertAlign w:val="baseline"/>
              </w:rPr>
              <w:t>部件加工边角料</w:t>
            </w:r>
          </w:p>
        </w:tc>
        <w:tc>
          <w:tcPr>
            <w:tcW w:w="2658" w:type="dxa"/>
            <w:vAlign w:val="center"/>
          </w:tcPr>
          <w:p w14:paraId="31A19178">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kern w:val="2"/>
                <w:sz w:val="24"/>
                <w:szCs w:val="24"/>
                <w:highlight w:val="none"/>
                <w:u w:val="none"/>
                <w:vertAlign w:val="baseline"/>
                <w:lang w:val="en-US" w:eastAsia="zh-CN" w:bidi="ar-SA"/>
              </w:rPr>
            </w:pPr>
            <w:r>
              <w:rPr>
                <w:rFonts w:hint="eastAsia" w:ascii="仿宋_GB2312" w:hAnsi="仿宋_GB2312" w:eastAsia="仿宋_GB2312" w:cs="仿宋_GB2312"/>
                <w:color w:val="auto"/>
                <w:sz w:val="24"/>
                <w:szCs w:val="24"/>
                <w:highlight w:val="none"/>
                <w:u w:val="none"/>
                <w:vertAlign w:val="baseline"/>
                <w:lang w:eastAsia="zh-CN"/>
              </w:rPr>
              <w:t>专业企业直接回收利用</w:t>
            </w:r>
          </w:p>
        </w:tc>
      </w:tr>
      <w:tr w14:paraId="1780CC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56" w:type="dxa"/>
            <w:vMerge w:val="continue"/>
            <w:vAlign w:val="center"/>
          </w:tcPr>
          <w:p w14:paraId="1B99BCC3">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highlight w:val="none"/>
                <w:u w:val="none"/>
                <w:vertAlign w:val="baseline"/>
              </w:rPr>
            </w:pPr>
          </w:p>
        </w:tc>
        <w:tc>
          <w:tcPr>
            <w:tcW w:w="2033" w:type="dxa"/>
            <w:vAlign w:val="center"/>
          </w:tcPr>
          <w:p w14:paraId="4A3F16C9">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highlight w:val="none"/>
                <w:u w:val="none"/>
                <w:vertAlign w:val="baseline"/>
              </w:rPr>
            </w:pPr>
            <w:r>
              <w:rPr>
                <w:rFonts w:hint="eastAsia" w:ascii="仿宋_GB2312" w:hAnsi="仿宋_GB2312" w:eastAsia="仿宋_GB2312" w:cs="仿宋_GB2312"/>
                <w:color w:val="auto"/>
                <w:sz w:val="24"/>
                <w:szCs w:val="24"/>
                <w:highlight w:val="none"/>
                <w:u w:val="none"/>
                <w:vertAlign w:val="baseline"/>
              </w:rPr>
              <w:t>塑料、织物</w:t>
            </w:r>
          </w:p>
        </w:tc>
        <w:tc>
          <w:tcPr>
            <w:tcW w:w="3437" w:type="dxa"/>
            <w:vAlign w:val="center"/>
          </w:tcPr>
          <w:p w14:paraId="3BA66E74">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highlight w:val="none"/>
                <w:u w:val="none"/>
                <w:vertAlign w:val="baseline"/>
              </w:rPr>
            </w:pPr>
            <w:r>
              <w:rPr>
                <w:rFonts w:hint="eastAsia" w:ascii="仿宋_GB2312" w:hAnsi="仿宋_GB2312" w:eastAsia="仿宋_GB2312" w:cs="仿宋_GB2312"/>
                <w:color w:val="auto"/>
                <w:sz w:val="24"/>
                <w:szCs w:val="24"/>
                <w:highlight w:val="none"/>
                <w:u w:val="none"/>
                <w:vertAlign w:val="baseline"/>
              </w:rPr>
              <w:t>工程塑料破损及剩余、废弃塑料模板、包装材料、安全网防尘网等,塑料成分主要有</w:t>
            </w:r>
            <w:r>
              <w:rPr>
                <w:rFonts w:hint="default" w:ascii="Times New Roman" w:hAnsi="Times New Roman" w:eastAsia="仿宋_GB2312" w:cs="Times New Roman"/>
                <w:color w:val="auto"/>
                <w:sz w:val="24"/>
                <w:szCs w:val="24"/>
                <w:highlight w:val="none"/>
                <w:u w:val="none"/>
                <w:vertAlign w:val="baseline"/>
              </w:rPr>
              <w:t>PVC、PE、PP、PS、ABS、</w:t>
            </w:r>
            <w:r>
              <w:rPr>
                <w:rFonts w:hint="eastAsia" w:ascii="仿宋_GB2312" w:hAnsi="仿宋_GB2312" w:eastAsia="仿宋_GB2312" w:cs="仿宋_GB2312"/>
                <w:color w:val="auto"/>
                <w:sz w:val="24"/>
                <w:szCs w:val="24"/>
                <w:highlight w:val="none"/>
                <w:u w:val="none"/>
                <w:vertAlign w:val="baseline"/>
              </w:rPr>
              <w:t>尼龙等</w:t>
            </w:r>
          </w:p>
        </w:tc>
        <w:tc>
          <w:tcPr>
            <w:tcW w:w="2658" w:type="dxa"/>
            <w:vAlign w:val="center"/>
          </w:tcPr>
          <w:p w14:paraId="61C96CBB">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kern w:val="2"/>
                <w:sz w:val="24"/>
                <w:szCs w:val="24"/>
                <w:highlight w:val="none"/>
                <w:u w:val="none"/>
                <w:vertAlign w:val="baseline"/>
                <w:lang w:val="en-US" w:eastAsia="zh-CN" w:bidi="ar-SA"/>
              </w:rPr>
            </w:pPr>
            <w:r>
              <w:rPr>
                <w:rFonts w:hint="eastAsia" w:ascii="仿宋_GB2312" w:hAnsi="仿宋_GB2312" w:eastAsia="仿宋_GB2312" w:cs="仿宋_GB2312"/>
                <w:color w:val="auto"/>
                <w:sz w:val="24"/>
                <w:szCs w:val="24"/>
                <w:highlight w:val="none"/>
                <w:u w:val="none"/>
                <w:vertAlign w:val="baseline"/>
                <w:lang w:eastAsia="zh-CN"/>
              </w:rPr>
              <w:t>专业企业直接回收利用</w:t>
            </w:r>
          </w:p>
        </w:tc>
      </w:tr>
      <w:tr w14:paraId="5A91E8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56" w:type="dxa"/>
            <w:vMerge w:val="continue"/>
            <w:vAlign w:val="center"/>
          </w:tcPr>
          <w:p w14:paraId="08F093EF">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highlight w:val="none"/>
                <w:u w:val="none"/>
                <w:vertAlign w:val="baseline"/>
              </w:rPr>
            </w:pPr>
          </w:p>
        </w:tc>
        <w:tc>
          <w:tcPr>
            <w:tcW w:w="2033" w:type="dxa"/>
            <w:vAlign w:val="center"/>
          </w:tcPr>
          <w:p w14:paraId="70571101">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highlight w:val="none"/>
                <w:u w:val="none"/>
                <w:vertAlign w:val="baseline"/>
              </w:rPr>
            </w:pPr>
            <w:r>
              <w:rPr>
                <w:rFonts w:hint="eastAsia" w:ascii="仿宋_GB2312" w:hAnsi="仿宋_GB2312" w:eastAsia="仿宋_GB2312" w:cs="仿宋_GB2312"/>
                <w:color w:val="auto"/>
                <w:sz w:val="24"/>
                <w:szCs w:val="24"/>
                <w:highlight w:val="none"/>
                <w:u w:val="none"/>
                <w:vertAlign w:val="baseline"/>
              </w:rPr>
              <w:t>纸类</w:t>
            </w:r>
          </w:p>
        </w:tc>
        <w:tc>
          <w:tcPr>
            <w:tcW w:w="3437" w:type="dxa"/>
            <w:vAlign w:val="center"/>
          </w:tcPr>
          <w:p w14:paraId="072C7317">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highlight w:val="none"/>
                <w:u w:val="none"/>
                <w:vertAlign w:val="baseline"/>
              </w:rPr>
            </w:pPr>
            <w:r>
              <w:rPr>
                <w:rFonts w:hint="eastAsia" w:ascii="仿宋_GB2312" w:hAnsi="仿宋_GB2312" w:eastAsia="仿宋_GB2312" w:cs="仿宋_GB2312"/>
                <w:color w:val="auto"/>
                <w:sz w:val="24"/>
                <w:szCs w:val="24"/>
                <w:highlight w:val="none"/>
                <w:u w:val="none"/>
                <w:vertAlign w:val="baseline"/>
              </w:rPr>
              <w:t>包装材料等</w:t>
            </w:r>
          </w:p>
        </w:tc>
        <w:tc>
          <w:tcPr>
            <w:tcW w:w="2658" w:type="dxa"/>
            <w:vAlign w:val="center"/>
          </w:tcPr>
          <w:p w14:paraId="13FDAE11">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kern w:val="2"/>
                <w:sz w:val="24"/>
                <w:szCs w:val="24"/>
                <w:highlight w:val="none"/>
                <w:u w:val="none"/>
                <w:vertAlign w:val="baseline"/>
                <w:lang w:val="en-US" w:eastAsia="zh-CN" w:bidi="ar-SA"/>
              </w:rPr>
            </w:pPr>
            <w:r>
              <w:rPr>
                <w:rFonts w:hint="eastAsia" w:ascii="仿宋_GB2312" w:hAnsi="仿宋_GB2312" w:eastAsia="仿宋_GB2312" w:cs="仿宋_GB2312"/>
                <w:color w:val="auto"/>
                <w:sz w:val="24"/>
                <w:szCs w:val="24"/>
                <w:highlight w:val="none"/>
                <w:u w:val="none"/>
                <w:vertAlign w:val="baseline"/>
                <w:lang w:eastAsia="zh-CN"/>
              </w:rPr>
              <w:t>专业企业直接回收利用</w:t>
            </w:r>
          </w:p>
        </w:tc>
      </w:tr>
      <w:tr w14:paraId="5CB22A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56" w:type="dxa"/>
            <w:vMerge w:val="continue"/>
            <w:vAlign w:val="center"/>
          </w:tcPr>
          <w:p w14:paraId="02F50774">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highlight w:val="none"/>
                <w:u w:val="none"/>
                <w:vertAlign w:val="baseline"/>
              </w:rPr>
            </w:pPr>
          </w:p>
        </w:tc>
        <w:tc>
          <w:tcPr>
            <w:tcW w:w="2033" w:type="dxa"/>
            <w:vAlign w:val="center"/>
          </w:tcPr>
          <w:p w14:paraId="1185297E">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highlight w:val="none"/>
                <w:u w:val="none"/>
                <w:vertAlign w:val="baseline"/>
              </w:rPr>
            </w:pPr>
            <w:r>
              <w:rPr>
                <w:rFonts w:hint="eastAsia" w:ascii="仿宋_GB2312" w:hAnsi="仿宋_GB2312" w:eastAsia="仿宋_GB2312" w:cs="仿宋_GB2312"/>
                <w:color w:val="auto"/>
                <w:sz w:val="24"/>
                <w:szCs w:val="24"/>
                <w:highlight w:val="none"/>
                <w:u w:val="none"/>
                <w:vertAlign w:val="baseline"/>
              </w:rPr>
              <w:t>沥青类</w:t>
            </w:r>
          </w:p>
        </w:tc>
        <w:tc>
          <w:tcPr>
            <w:tcW w:w="3437" w:type="dxa"/>
            <w:vAlign w:val="center"/>
          </w:tcPr>
          <w:p w14:paraId="7B5396DA">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highlight w:val="none"/>
                <w:u w:val="none"/>
                <w:vertAlign w:val="baseline"/>
              </w:rPr>
            </w:pPr>
            <w:r>
              <w:rPr>
                <w:rFonts w:hint="eastAsia" w:ascii="仿宋_GB2312" w:hAnsi="仿宋_GB2312" w:eastAsia="仿宋_GB2312" w:cs="仿宋_GB2312"/>
                <w:color w:val="auto"/>
                <w:sz w:val="24"/>
                <w:szCs w:val="24"/>
                <w:highlight w:val="none"/>
                <w:u w:val="none"/>
                <w:vertAlign w:val="baseline"/>
              </w:rPr>
              <w:t>道路施工废弃料</w:t>
            </w:r>
          </w:p>
        </w:tc>
        <w:tc>
          <w:tcPr>
            <w:tcW w:w="2658" w:type="dxa"/>
            <w:vAlign w:val="center"/>
          </w:tcPr>
          <w:p w14:paraId="2C529B7F">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kern w:val="2"/>
                <w:sz w:val="24"/>
                <w:szCs w:val="24"/>
                <w:highlight w:val="none"/>
                <w:u w:val="none"/>
                <w:vertAlign w:val="baseline"/>
                <w:lang w:val="en-US" w:eastAsia="zh-CN" w:bidi="ar-SA"/>
              </w:rPr>
            </w:pPr>
            <w:r>
              <w:rPr>
                <w:rFonts w:hint="eastAsia" w:ascii="仿宋_GB2312" w:hAnsi="仿宋_GB2312" w:eastAsia="仿宋_GB2312" w:cs="仿宋_GB2312"/>
                <w:color w:val="auto"/>
                <w:sz w:val="24"/>
                <w:szCs w:val="24"/>
                <w:highlight w:val="none"/>
                <w:u w:val="none"/>
                <w:vertAlign w:val="baseline"/>
                <w:lang w:eastAsia="zh-CN"/>
              </w:rPr>
              <w:t>专业企业直接回收利用</w:t>
            </w:r>
          </w:p>
        </w:tc>
      </w:tr>
      <w:tr w14:paraId="6C0269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56" w:type="dxa"/>
            <w:vAlign w:val="center"/>
          </w:tcPr>
          <w:p w14:paraId="1D35B2C4">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highlight w:val="none"/>
                <w:u w:val="none"/>
                <w:vertAlign w:val="baseline"/>
              </w:rPr>
            </w:pPr>
            <w:r>
              <w:rPr>
                <w:rFonts w:hint="eastAsia" w:ascii="仿宋_GB2312" w:hAnsi="仿宋_GB2312" w:eastAsia="仿宋_GB2312" w:cs="仿宋_GB2312"/>
                <w:color w:val="auto"/>
                <w:sz w:val="24"/>
                <w:szCs w:val="24"/>
                <w:highlight w:val="none"/>
                <w:u w:val="none"/>
                <w:vertAlign w:val="baseline"/>
              </w:rPr>
              <w:t>其他类</w:t>
            </w:r>
          </w:p>
        </w:tc>
        <w:tc>
          <w:tcPr>
            <w:tcW w:w="2033" w:type="dxa"/>
            <w:vAlign w:val="center"/>
          </w:tcPr>
          <w:p w14:paraId="33212FC1">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highlight w:val="none"/>
                <w:u w:val="none"/>
                <w:vertAlign w:val="baseline"/>
              </w:rPr>
            </w:pPr>
            <w:r>
              <w:rPr>
                <w:rFonts w:hint="eastAsia" w:ascii="仿宋_GB2312" w:hAnsi="仿宋_GB2312" w:eastAsia="仿宋_GB2312" w:cs="仿宋_GB2312"/>
                <w:color w:val="auto"/>
                <w:sz w:val="24"/>
                <w:szCs w:val="24"/>
                <w:highlight w:val="none"/>
                <w:u w:val="none"/>
                <w:vertAlign w:val="baseline"/>
              </w:rPr>
              <w:t>混合</w:t>
            </w:r>
          </w:p>
        </w:tc>
        <w:tc>
          <w:tcPr>
            <w:tcW w:w="3437" w:type="dxa"/>
            <w:vAlign w:val="center"/>
          </w:tcPr>
          <w:p w14:paraId="1E59253E">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highlight w:val="none"/>
                <w:u w:val="none"/>
                <w:vertAlign w:val="baseline"/>
              </w:rPr>
            </w:pPr>
            <w:r>
              <w:rPr>
                <w:rFonts w:hint="eastAsia" w:ascii="仿宋_GB2312" w:hAnsi="仿宋_GB2312" w:eastAsia="仿宋_GB2312" w:cs="仿宋_GB2312"/>
                <w:color w:val="auto"/>
                <w:sz w:val="24"/>
                <w:szCs w:val="24"/>
                <w:highlight w:val="none"/>
                <w:u w:val="none"/>
                <w:vertAlign w:val="baseline"/>
              </w:rPr>
              <w:t>以上类别以外的工程垃圾，以及无法在现场进行分类的无机非金属、金属、有机类垃圾的混合物</w:t>
            </w:r>
            <w:r>
              <w:rPr>
                <w:rFonts w:hint="eastAsia" w:ascii="仿宋_GB2312" w:hAnsi="仿宋_GB2312" w:eastAsia="仿宋_GB2312" w:cs="仿宋_GB2312"/>
                <w:color w:val="auto"/>
                <w:sz w:val="24"/>
                <w:szCs w:val="24"/>
                <w:highlight w:val="none"/>
                <w:u w:val="none"/>
                <w:vertAlign w:val="baseline"/>
                <w:lang w:eastAsia="zh-CN"/>
              </w:rPr>
              <w:t>，</w:t>
            </w:r>
            <w:r>
              <w:rPr>
                <w:rFonts w:hint="eastAsia" w:ascii="仿宋_GB2312" w:hAnsi="仿宋_GB2312" w:eastAsia="仿宋_GB2312" w:cs="仿宋_GB2312"/>
                <w:color w:val="auto"/>
                <w:sz w:val="24"/>
                <w:szCs w:val="24"/>
                <w:highlight w:val="none"/>
                <w:u w:val="none"/>
                <w:vertAlign w:val="baseline"/>
              </w:rPr>
              <w:t>施工剩余的防水材料、保温材料等</w:t>
            </w:r>
            <w:r>
              <w:rPr>
                <w:rFonts w:hint="eastAsia" w:ascii="仿宋_GB2312" w:hAnsi="仿宋_GB2312" w:eastAsia="仿宋_GB2312" w:cs="仿宋_GB2312"/>
                <w:color w:val="auto"/>
                <w:sz w:val="24"/>
                <w:szCs w:val="24"/>
                <w:highlight w:val="none"/>
                <w:u w:val="none"/>
                <w:vertAlign w:val="baseline"/>
                <w:lang w:eastAsia="zh-CN"/>
              </w:rPr>
              <w:t>，</w:t>
            </w:r>
            <w:r>
              <w:rPr>
                <w:rFonts w:hint="eastAsia" w:ascii="仿宋_GB2312" w:hAnsi="仿宋_GB2312" w:eastAsia="仿宋_GB2312" w:cs="仿宋_GB2312"/>
                <w:color w:val="auto"/>
                <w:sz w:val="24"/>
                <w:szCs w:val="24"/>
                <w:highlight w:val="none"/>
                <w:u w:val="none"/>
                <w:vertAlign w:val="baseline"/>
              </w:rPr>
              <w:t>玻璃类</w:t>
            </w:r>
            <w:r>
              <w:rPr>
                <w:rFonts w:hint="eastAsia" w:ascii="仿宋_GB2312" w:hAnsi="仿宋_GB2312" w:eastAsia="仿宋_GB2312" w:cs="仿宋_GB2312"/>
                <w:color w:val="auto"/>
                <w:sz w:val="24"/>
                <w:szCs w:val="24"/>
                <w:highlight w:val="none"/>
                <w:u w:val="none"/>
                <w:vertAlign w:val="baseline"/>
                <w:lang w:eastAsia="zh-CN"/>
              </w:rPr>
              <w:t>，</w:t>
            </w:r>
            <w:r>
              <w:rPr>
                <w:rFonts w:hint="eastAsia" w:ascii="仿宋_GB2312" w:hAnsi="仿宋_GB2312" w:eastAsia="仿宋_GB2312" w:cs="仿宋_GB2312"/>
                <w:color w:val="auto"/>
                <w:sz w:val="24"/>
                <w:szCs w:val="24"/>
                <w:highlight w:val="none"/>
                <w:u w:val="none"/>
                <w:vertAlign w:val="baseline"/>
              </w:rPr>
              <w:t>废弃木模板</w:t>
            </w:r>
          </w:p>
        </w:tc>
        <w:tc>
          <w:tcPr>
            <w:tcW w:w="2658" w:type="dxa"/>
            <w:vAlign w:val="center"/>
          </w:tcPr>
          <w:p w14:paraId="53D61CA1">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highlight w:val="none"/>
                <w:u w:val="none"/>
                <w:vertAlign w:val="baseline"/>
                <w:lang w:eastAsia="zh-CN"/>
              </w:rPr>
            </w:pPr>
            <w:r>
              <w:rPr>
                <w:rFonts w:hint="eastAsia" w:ascii="仿宋_GB2312" w:hAnsi="仿宋_GB2312" w:eastAsia="仿宋_GB2312" w:cs="仿宋_GB2312"/>
                <w:color w:val="auto"/>
                <w:sz w:val="24"/>
                <w:szCs w:val="24"/>
                <w:highlight w:val="none"/>
                <w:u w:val="none"/>
                <w:vertAlign w:val="baseline"/>
                <w:lang w:eastAsia="zh-CN"/>
              </w:rPr>
              <w:t>焚烧或消纳填埋</w:t>
            </w:r>
          </w:p>
        </w:tc>
      </w:tr>
    </w:tbl>
    <w:p w14:paraId="37D85E78">
      <w:pPr>
        <w:pageBreakBefore w:val="0"/>
        <w:kinsoku/>
        <w:wordWrap/>
        <w:topLinePunct w:val="0"/>
        <w:bidi w:val="0"/>
        <w:spacing w:beforeAutospacing="0" w:afterAutospacing="0" w:line="560" w:lineRule="exact"/>
        <w:ind w:left="0" w:leftChars="0"/>
        <w:rPr>
          <w:color w:val="auto"/>
          <w:sz w:val="24"/>
          <w:highlight w:val="none"/>
          <w:u w:val="none"/>
        </w:rPr>
      </w:pPr>
    </w:p>
    <w:p w14:paraId="27658144">
      <w:pPr>
        <w:pageBreakBefore w:val="0"/>
        <w:kinsoku/>
        <w:wordWrap/>
        <w:overflowPunct/>
        <w:topLinePunct w:val="0"/>
        <w:autoSpaceDE/>
        <w:autoSpaceDN/>
        <w:bidi w:val="0"/>
        <w:adjustRightInd/>
        <w:spacing w:beforeAutospacing="0" w:afterAutospacing="0" w:line="560" w:lineRule="exact"/>
        <w:ind w:left="0" w:leftChars="0"/>
        <w:jc w:val="center"/>
        <w:textAlignment w:val="auto"/>
        <w:rPr>
          <w:rFonts w:hint="eastAsia" w:ascii="仿宋_GB2312" w:hAnsi="仿宋_GB2312" w:eastAsia="仿宋_GB2312" w:cs="仿宋_GB2312"/>
          <w:bCs/>
          <w:color w:val="auto"/>
          <w:sz w:val="32"/>
          <w:szCs w:val="32"/>
          <w:highlight w:val="none"/>
          <w:u w:val="none"/>
          <w:lang w:val="en-US" w:eastAsia="zh-CN"/>
        </w:rPr>
      </w:pPr>
      <w:r>
        <w:rPr>
          <w:rFonts w:hint="eastAsia" w:ascii="仿宋_GB2312" w:hAnsi="仿宋_GB2312" w:eastAsia="仿宋_GB2312" w:cs="仿宋_GB2312"/>
          <w:bCs/>
          <w:color w:val="auto"/>
          <w:sz w:val="32"/>
          <w:szCs w:val="32"/>
          <w:highlight w:val="none"/>
          <w:u w:val="none"/>
          <w:lang w:val="en-US" w:eastAsia="zh-CN"/>
        </w:rPr>
        <w:t>表：拆除垃圾分类及无害化处理方式</w:t>
      </w:r>
    </w:p>
    <w:tbl>
      <w:tblPr>
        <w:tblStyle w:val="17"/>
        <w:tblW w:w="979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9"/>
        <w:gridCol w:w="1737"/>
        <w:gridCol w:w="3363"/>
        <w:gridCol w:w="2945"/>
      </w:tblGrid>
      <w:tr w14:paraId="7DC97A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tblHeader/>
          <w:jc w:val="center"/>
        </w:trPr>
        <w:tc>
          <w:tcPr>
            <w:tcW w:w="1749" w:type="dxa"/>
            <w:vAlign w:val="center"/>
          </w:tcPr>
          <w:p w14:paraId="3139DDE0">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黑体" w:hAnsi="黑体" w:eastAsia="黑体" w:cs="黑体"/>
                <w:color w:val="auto"/>
                <w:sz w:val="24"/>
                <w:szCs w:val="24"/>
                <w:highlight w:val="none"/>
                <w:u w:val="none"/>
                <w:vertAlign w:val="baseline"/>
                <w:lang w:eastAsia="zh-CN"/>
              </w:rPr>
            </w:pPr>
            <w:r>
              <w:rPr>
                <w:rFonts w:hint="eastAsia" w:ascii="黑体" w:hAnsi="黑体" w:eastAsia="黑体" w:cs="黑体"/>
                <w:color w:val="auto"/>
                <w:sz w:val="24"/>
                <w:szCs w:val="24"/>
                <w:highlight w:val="none"/>
                <w:u w:val="none"/>
                <w:vertAlign w:val="baseline"/>
                <w:lang w:eastAsia="zh-CN"/>
              </w:rPr>
              <w:t>一级分类</w:t>
            </w:r>
          </w:p>
        </w:tc>
        <w:tc>
          <w:tcPr>
            <w:tcW w:w="1737" w:type="dxa"/>
            <w:vAlign w:val="center"/>
          </w:tcPr>
          <w:p w14:paraId="7C581D63">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黑体" w:hAnsi="黑体" w:eastAsia="黑体" w:cs="黑体"/>
                <w:color w:val="auto"/>
                <w:sz w:val="24"/>
                <w:szCs w:val="24"/>
                <w:highlight w:val="none"/>
                <w:u w:val="none"/>
                <w:vertAlign w:val="baseline"/>
                <w:lang w:eastAsia="zh-CN"/>
              </w:rPr>
            </w:pPr>
            <w:r>
              <w:rPr>
                <w:rFonts w:hint="eastAsia" w:ascii="黑体" w:hAnsi="黑体" w:eastAsia="黑体" w:cs="黑体"/>
                <w:color w:val="auto"/>
                <w:sz w:val="24"/>
                <w:szCs w:val="24"/>
                <w:highlight w:val="none"/>
                <w:u w:val="none"/>
                <w:vertAlign w:val="baseline"/>
                <w:lang w:eastAsia="zh-CN"/>
              </w:rPr>
              <w:t>二级分类</w:t>
            </w:r>
          </w:p>
        </w:tc>
        <w:tc>
          <w:tcPr>
            <w:tcW w:w="3363" w:type="dxa"/>
            <w:vAlign w:val="center"/>
          </w:tcPr>
          <w:p w14:paraId="2E66821D">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黑体" w:hAnsi="黑体" w:eastAsia="黑体" w:cs="黑体"/>
                <w:color w:val="auto"/>
                <w:sz w:val="24"/>
                <w:szCs w:val="24"/>
                <w:highlight w:val="none"/>
                <w:u w:val="none"/>
                <w:vertAlign w:val="baseline"/>
                <w:lang w:eastAsia="zh-CN"/>
              </w:rPr>
            </w:pPr>
            <w:r>
              <w:rPr>
                <w:rFonts w:hint="eastAsia" w:ascii="黑体" w:hAnsi="黑体" w:eastAsia="黑体" w:cs="黑体"/>
                <w:color w:val="auto"/>
                <w:sz w:val="24"/>
                <w:szCs w:val="24"/>
                <w:highlight w:val="none"/>
                <w:u w:val="none"/>
                <w:vertAlign w:val="baseline"/>
                <w:lang w:eastAsia="zh-CN"/>
              </w:rPr>
              <w:t>主要来源</w:t>
            </w:r>
          </w:p>
        </w:tc>
        <w:tc>
          <w:tcPr>
            <w:tcW w:w="2945" w:type="dxa"/>
            <w:vAlign w:val="center"/>
          </w:tcPr>
          <w:p w14:paraId="7618F6D0">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黑体" w:hAnsi="黑体" w:eastAsia="黑体" w:cs="黑体"/>
                <w:color w:val="auto"/>
                <w:kern w:val="2"/>
                <w:sz w:val="24"/>
                <w:szCs w:val="24"/>
                <w:highlight w:val="none"/>
                <w:u w:val="none"/>
                <w:vertAlign w:val="baseline"/>
                <w:lang w:val="en-US" w:eastAsia="zh-CN" w:bidi="ar-SA"/>
              </w:rPr>
            </w:pPr>
            <w:r>
              <w:rPr>
                <w:rFonts w:hint="eastAsia" w:ascii="黑体" w:hAnsi="黑体" w:eastAsia="黑体" w:cs="黑体"/>
                <w:color w:val="auto"/>
                <w:sz w:val="24"/>
                <w:szCs w:val="24"/>
                <w:highlight w:val="none"/>
                <w:u w:val="none"/>
                <w:vertAlign w:val="baseline"/>
                <w:lang w:eastAsia="zh-CN"/>
              </w:rPr>
              <w:t>无害化处理方式</w:t>
            </w:r>
          </w:p>
        </w:tc>
      </w:tr>
      <w:tr w14:paraId="1AA719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9" w:hRule="atLeast"/>
          <w:jc w:val="center"/>
        </w:trPr>
        <w:tc>
          <w:tcPr>
            <w:tcW w:w="1749" w:type="dxa"/>
            <w:vMerge w:val="restart"/>
            <w:vAlign w:val="center"/>
          </w:tcPr>
          <w:p w14:paraId="295B131B">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pacing w:val="0"/>
                <w:kern w:val="2"/>
                <w:sz w:val="24"/>
                <w:szCs w:val="24"/>
                <w:highlight w:val="none"/>
                <w:u w:val="none"/>
                <w:vertAlign w:val="baseline"/>
                <w:lang w:val="en-US" w:eastAsia="zh-CN" w:bidi="ar-SA"/>
              </w:rPr>
            </w:pPr>
            <w:r>
              <w:rPr>
                <w:rFonts w:hint="eastAsia" w:ascii="仿宋_GB2312" w:hAnsi="仿宋_GB2312" w:eastAsia="仿宋_GB2312" w:cs="仿宋_GB2312"/>
                <w:color w:val="auto"/>
                <w:spacing w:val="0"/>
                <w:kern w:val="2"/>
                <w:sz w:val="24"/>
                <w:szCs w:val="24"/>
                <w:highlight w:val="none"/>
                <w:u w:val="none"/>
                <w:vertAlign w:val="baseline"/>
                <w:lang w:val="en-US" w:eastAsia="zh-CN" w:bidi="ar-SA"/>
              </w:rPr>
              <w:t>无机非金属类</w:t>
            </w:r>
          </w:p>
        </w:tc>
        <w:tc>
          <w:tcPr>
            <w:tcW w:w="1737" w:type="dxa"/>
            <w:vAlign w:val="center"/>
          </w:tcPr>
          <w:p w14:paraId="7434DD14">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pacing w:val="0"/>
                <w:kern w:val="2"/>
                <w:sz w:val="24"/>
                <w:szCs w:val="24"/>
                <w:highlight w:val="none"/>
                <w:u w:val="none"/>
                <w:vertAlign w:val="baseline"/>
                <w:lang w:val="en-US" w:eastAsia="zh-CN" w:bidi="ar-SA"/>
              </w:rPr>
            </w:pPr>
            <w:r>
              <w:rPr>
                <w:rFonts w:hint="eastAsia" w:ascii="仿宋_GB2312" w:hAnsi="仿宋_GB2312" w:eastAsia="仿宋_GB2312" w:cs="仿宋_GB2312"/>
                <w:color w:val="auto"/>
                <w:spacing w:val="0"/>
                <w:kern w:val="2"/>
                <w:sz w:val="24"/>
                <w:szCs w:val="24"/>
                <w:highlight w:val="none"/>
                <w:u w:val="none"/>
                <w:vertAlign w:val="baseline"/>
                <w:lang w:val="en-US" w:eastAsia="zh-CN" w:bidi="ar-SA"/>
              </w:rPr>
              <w:t>混凝土</w:t>
            </w:r>
          </w:p>
        </w:tc>
        <w:tc>
          <w:tcPr>
            <w:tcW w:w="3363" w:type="dxa"/>
            <w:vAlign w:val="center"/>
          </w:tcPr>
          <w:p w14:paraId="69503AB9">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pacing w:val="0"/>
                <w:kern w:val="2"/>
                <w:sz w:val="24"/>
                <w:szCs w:val="24"/>
                <w:highlight w:val="none"/>
                <w:u w:val="none"/>
                <w:vertAlign w:val="baseline"/>
                <w:lang w:val="en-US" w:eastAsia="zh-CN" w:bidi="ar-SA"/>
              </w:rPr>
            </w:pPr>
            <w:r>
              <w:rPr>
                <w:rFonts w:hint="eastAsia" w:ascii="仿宋_GB2312" w:hAnsi="仿宋_GB2312" w:eastAsia="仿宋_GB2312" w:cs="仿宋_GB2312"/>
                <w:color w:val="auto"/>
                <w:spacing w:val="0"/>
                <w:kern w:val="2"/>
                <w:sz w:val="24"/>
                <w:szCs w:val="24"/>
                <w:highlight w:val="none"/>
                <w:u w:val="none"/>
                <w:vertAlign w:val="baseline"/>
                <w:lang w:val="en-US" w:eastAsia="zh-CN" w:bidi="ar-SA"/>
              </w:rPr>
              <w:t>建(构)筑物的梁板柱、基础等，主体结构及墙体地面、道路等</w:t>
            </w:r>
          </w:p>
        </w:tc>
        <w:tc>
          <w:tcPr>
            <w:tcW w:w="2945" w:type="dxa"/>
            <w:vAlign w:val="center"/>
          </w:tcPr>
          <w:p w14:paraId="0E8C47E3">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kern w:val="2"/>
                <w:sz w:val="24"/>
                <w:szCs w:val="24"/>
                <w:highlight w:val="none"/>
                <w:u w:val="none"/>
                <w:vertAlign w:val="baseline"/>
                <w:lang w:val="en-US" w:eastAsia="zh-CN" w:bidi="ar-SA"/>
              </w:rPr>
            </w:pPr>
            <w:r>
              <w:rPr>
                <w:rFonts w:hint="eastAsia" w:ascii="仿宋_GB2312" w:hAnsi="仿宋_GB2312" w:eastAsia="仿宋_GB2312" w:cs="仿宋_GB2312"/>
                <w:color w:val="auto"/>
                <w:sz w:val="24"/>
                <w:szCs w:val="24"/>
                <w:highlight w:val="none"/>
                <w:u w:val="none"/>
                <w:vertAlign w:val="baseline"/>
                <w:lang w:eastAsia="zh-CN"/>
              </w:rPr>
              <w:t>资源化利用</w:t>
            </w:r>
          </w:p>
        </w:tc>
      </w:tr>
      <w:tr w14:paraId="5924A4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749" w:type="dxa"/>
            <w:vMerge w:val="continue"/>
            <w:vAlign w:val="center"/>
          </w:tcPr>
          <w:p w14:paraId="08676916">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pacing w:val="0"/>
                <w:kern w:val="2"/>
                <w:sz w:val="24"/>
                <w:szCs w:val="24"/>
                <w:highlight w:val="none"/>
                <w:u w:val="none"/>
                <w:vertAlign w:val="baseline"/>
                <w:lang w:val="en-US" w:eastAsia="zh-CN" w:bidi="ar-SA"/>
              </w:rPr>
            </w:pPr>
          </w:p>
          <w:p w14:paraId="31F7B60B">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pacing w:val="0"/>
                <w:kern w:val="2"/>
                <w:sz w:val="24"/>
                <w:szCs w:val="24"/>
                <w:highlight w:val="none"/>
                <w:u w:val="none"/>
                <w:vertAlign w:val="baseline"/>
                <w:lang w:val="en-US" w:eastAsia="zh-CN" w:bidi="ar-SA"/>
              </w:rPr>
            </w:pPr>
          </w:p>
        </w:tc>
        <w:tc>
          <w:tcPr>
            <w:tcW w:w="1737" w:type="dxa"/>
            <w:vAlign w:val="center"/>
          </w:tcPr>
          <w:p w14:paraId="146E0382">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pacing w:val="0"/>
                <w:kern w:val="2"/>
                <w:sz w:val="24"/>
                <w:szCs w:val="24"/>
                <w:highlight w:val="none"/>
                <w:u w:val="none"/>
                <w:vertAlign w:val="baseline"/>
                <w:lang w:val="en-US" w:eastAsia="zh-CN" w:bidi="ar-SA"/>
              </w:rPr>
            </w:pPr>
            <w:r>
              <w:rPr>
                <w:rFonts w:hint="eastAsia" w:ascii="仿宋_GB2312" w:hAnsi="仿宋_GB2312" w:eastAsia="仿宋_GB2312" w:cs="仿宋_GB2312"/>
                <w:color w:val="auto"/>
                <w:spacing w:val="0"/>
                <w:kern w:val="2"/>
                <w:sz w:val="24"/>
                <w:szCs w:val="24"/>
                <w:highlight w:val="none"/>
                <w:u w:val="none"/>
                <w:vertAlign w:val="baseline"/>
                <w:lang w:val="en-US" w:eastAsia="zh-CN" w:bidi="ar-SA"/>
              </w:rPr>
              <w:t>石材</w:t>
            </w:r>
          </w:p>
        </w:tc>
        <w:tc>
          <w:tcPr>
            <w:tcW w:w="3363" w:type="dxa"/>
            <w:vAlign w:val="center"/>
          </w:tcPr>
          <w:p w14:paraId="3D2AAA9F">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pacing w:val="0"/>
                <w:kern w:val="2"/>
                <w:sz w:val="24"/>
                <w:szCs w:val="24"/>
                <w:highlight w:val="none"/>
                <w:u w:val="none"/>
                <w:vertAlign w:val="baseline"/>
                <w:lang w:val="en-US" w:eastAsia="zh-CN" w:bidi="ar-SA"/>
              </w:rPr>
            </w:pPr>
            <w:r>
              <w:rPr>
                <w:rFonts w:hint="eastAsia" w:ascii="仿宋_GB2312" w:hAnsi="仿宋_GB2312" w:eastAsia="仿宋_GB2312" w:cs="仿宋_GB2312"/>
                <w:color w:val="auto"/>
                <w:spacing w:val="0"/>
                <w:kern w:val="2"/>
                <w:sz w:val="24"/>
                <w:szCs w:val="24"/>
                <w:highlight w:val="none"/>
                <w:u w:val="none"/>
                <w:vertAlign w:val="baseline"/>
                <w:lang w:val="en-US" w:eastAsia="zh-CN" w:bidi="ar-SA"/>
              </w:rPr>
              <w:t>地面、路缘石、装饰台面等</w:t>
            </w:r>
          </w:p>
        </w:tc>
        <w:tc>
          <w:tcPr>
            <w:tcW w:w="2945" w:type="dxa"/>
            <w:vAlign w:val="center"/>
          </w:tcPr>
          <w:p w14:paraId="0C629DAB">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kern w:val="2"/>
                <w:sz w:val="24"/>
                <w:szCs w:val="24"/>
                <w:highlight w:val="none"/>
                <w:u w:val="none"/>
                <w:vertAlign w:val="baseline"/>
                <w:lang w:val="en-US" w:eastAsia="zh-CN" w:bidi="ar-SA"/>
              </w:rPr>
            </w:pPr>
            <w:r>
              <w:rPr>
                <w:rFonts w:hint="eastAsia" w:ascii="仿宋_GB2312" w:hAnsi="仿宋_GB2312" w:eastAsia="仿宋_GB2312" w:cs="仿宋_GB2312"/>
                <w:color w:val="auto"/>
                <w:sz w:val="24"/>
                <w:szCs w:val="24"/>
                <w:highlight w:val="none"/>
                <w:u w:val="none"/>
                <w:vertAlign w:val="baseline"/>
                <w:lang w:eastAsia="zh-CN"/>
              </w:rPr>
              <w:t>资源化利用</w:t>
            </w:r>
          </w:p>
        </w:tc>
      </w:tr>
      <w:tr w14:paraId="02AA17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749" w:type="dxa"/>
            <w:vMerge w:val="continue"/>
            <w:vAlign w:val="center"/>
          </w:tcPr>
          <w:p w14:paraId="3F1F7F26">
            <w:pPr>
              <w:pStyle w:val="15"/>
              <w:keepNext w:val="0"/>
              <w:keepLines w:val="0"/>
              <w:pageBreakBefore w:val="0"/>
              <w:widowControl w:val="0"/>
              <w:kinsoku/>
              <w:wordWrap/>
              <w:overflowPunct/>
              <w:topLinePunct w:val="0"/>
              <w:bidi w:val="0"/>
              <w:adjustRightInd/>
              <w:snapToGrid/>
              <w:spacing w:beforeAutospacing="0" w:afterAutospacing="0" w:line="400" w:lineRule="exact"/>
              <w:ind w:left="0" w:leftChars="0"/>
              <w:textAlignment w:val="auto"/>
              <w:rPr>
                <w:rFonts w:hint="eastAsia" w:ascii="仿宋_GB2312" w:hAnsi="仿宋_GB2312" w:eastAsia="仿宋_GB2312" w:cs="仿宋_GB2312"/>
                <w:color w:val="auto"/>
                <w:spacing w:val="0"/>
                <w:kern w:val="2"/>
                <w:sz w:val="24"/>
                <w:szCs w:val="24"/>
                <w:highlight w:val="none"/>
                <w:u w:val="none"/>
                <w:vertAlign w:val="baseline"/>
                <w:lang w:val="en-US" w:eastAsia="zh-CN" w:bidi="ar-SA"/>
              </w:rPr>
            </w:pPr>
          </w:p>
        </w:tc>
        <w:tc>
          <w:tcPr>
            <w:tcW w:w="1737" w:type="dxa"/>
            <w:vAlign w:val="center"/>
          </w:tcPr>
          <w:p w14:paraId="18ABDCBC">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pacing w:val="0"/>
                <w:kern w:val="2"/>
                <w:sz w:val="24"/>
                <w:szCs w:val="24"/>
                <w:highlight w:val="none"/>
                <w:u w:val="none"/>
                <w:vertAlign w:val="baseline"/>
                <w:lang w:val="en-US" w:eastAsia="zh-CN" w:bidi="ar-SA"/>
              </w:rPr>
            </w:pPr>
            <w:r>
              <w:rPr>
                <w:rFonts w:hint="eastAsia" w:ascii="仿宋_GB2312" w:hAnsi="仿宋_GB2312" w:eastAsia="仿宋_GB2312" w:cs="仿宋_GB2312"/>
                <w:color w:val="auto"/>
                <w:spacing w:val="0"/>
                <w:kern w:val="2"/>
                <w:sz w:val="24"/>
                <w:szCs w:val="24"/>
                <w:highlight w:val="none"/>
                <w:u w:val="none"/>
                <w:vertAlign w:val="baseline"/>
                <w:lang w:val="en-US" w:eastAsia="zh-CN" w:bidi="ar-SA"/>
              </w:rPr>
              <w:t>砖瓦和砌块﹡</w:t>
            </w:r>
          </w:p>
        </w:tc>
        <w:tc>
          <w:tcPr>
            <w:tcW w:w="3363" w:type="dxa"/>
            <w:vAlign w:val="center"/>
          </w:tcPr>
          <w:p w14:paraId="5445BA5B">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pacing w:val="0"/>
                <w:kern w:val="2"/>
                <w:sz w:val="24"/>
                <w:szCs w:val="24"/>
                <w:highlight w:val="none"/>
                <w:u w:val="none"/>
                <w:vertAlign w:val="baseline"/>
                <w:lang w:val="en-US" w:eastAsia="zh-CN" w:bidi="ar-SA"/>
              </w:rPr>
            </w:pPr>
            <w:r>
              <w:rPr>
                <w:rFonts w:hint="eastAsia" w:ascii="仿宋_GB2312" w:hAnsi="仿宋_GB2312" w:eastAsia="仿宋_GB2312" w:cs="仿宋_GB2312"/>
                <w:color w:val="auto"/>
                <w:spacing w:val="0"/>
                <w:kern w:val="2"/>
                <w:sz w:val="24"/>
                <w:szCs w:val="24"/>
                <w:highlight w:val="none"/>
                <w:u w:val="none"/>
                <w:vertAlign w:val="baseline"/>
                <w:lang w:val="en-US" w:eastAsia="zh-CN" w:bidi="ar-SA"/>
              </w:rPr>
              <w:t>墙体、地面、屋顶、步道等</w:t>
            </w:r>
          </w:p>
        </w:tc>
        <w:tc>
          <w:tcPr>
            <w:tcW w:w="2945" w:type="dxa"/>
            <w:vAlign w:val="center"/>
          </w:tcPr>
          <w:p w14:paraId="664D0BF9">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kern w:val="2"/>
                <w:sz w:val="24"/>
                <w:szCs w:val="24"/>
                <w:highlight w:val="none"/>
                <w:u w:val="none"/>
                <w:vertAlign w:val="baseline"/>
                <w:lang w:val="en-US" w:eastAsia="zh-CN" w:bidi="ar-SA"/>
              </w:rPr>
            </w:pPr>
            <w:r>
              <w:rPr>
                <w:rFonts w:hint="eastAsia" w:ascii="仿宋_GB2312" w:hAnsi="仿宋_GB2312" w:eastAsia="仿宋_GB2312" w:cs="仿宋_GB2312"/>
                <w:color w:val="auto"/>
                <w:sz w:val="24"/>
                <w:szCs w:val="24"/>
                <w:highlight w:val="none"/>
                <w:u w:val="none"/>
                <w:vertAlign w:val="baseline"/>
                <w:lang w:eastAsia="zh-CN"/>
              </w:rPr>
              <w:t>资源化利用</w:t>
            </w:r>
          </w:p>
        </w:tc>
      </w:tr>
      <w:tr w14:paraId="69C418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749" w:type="dxa"/>
            <w:vMerge w:val="continue"/>
            <w:vAlign w:val="center"/>
          </w:tcPr>
          <w:p w14:paraId="2EB8AE5E">
            <w:pPr>
              <w:pStyle w:val="15"/>
              <w:keepNext w:val="0"/>
              <w:keepLines w:val="0"/>
              <w:pageBreakBefore w:val="0"/>
              <w:widowControl w:val="0"/>
              <w:kinsoku/>
              <w:wordWrap/>
              <w:overflowPunct/>
              <w:topLinePunct w:val="0"/>
              <w:bidi w:val="0"/>
              <w:adjustRightInd/>
              <w:snapToGrid/>
              <w:spacing w:beforeAutospacing="0" w:afterAutospacing="0" w:line="400" w:lineRule="exact"/>
              <w:ind w:left="0" w:leftChars="0"/>
              <w:textAlignment w:val="auto"/>
              <w:rPr>
                <w:rFonts w:hint="eastAsia" w:ascii="仿宋_GB2312" w:hAnsi="仿宋_GB2312" w:eastAsia="仿宋_GB2312" w:cs="仿宋_GB2312"/>
                <w:color w:val="auto"/>
                <w:spacing w:val="0"/>
                <w:kern w:val="2"/>
                <w:sz w:val="24"/>
                <w:szCs w:val="24"/>
                <w:highlight w:val="none"/>
                <w:u w:val="none"/>
                <w:vertAlign w:val="baseline"/>
                <w:lang w:val="en-US" w:eastAsia="zh-CN" w:bidi="ar-SA"/>
              </w:rPr>
            </w:pPr>
          </w:p>
        </w:tc>
        <w:tc>
          <w:tcPr>
            <w:tcW w:w="1737" w:type="dxa"/>
            <w:vAlign w:val="center"/>
          </w:tcPr>
          <w:p w14:paraId="76169F53">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pacing w:val="0"/>
                <w:kern w:val="2"/>
                <w:sz w:val="24"/>
                <w:szCs w:val="24"/>
                <w:highlight w:val="none"/>
                <w:u w:val="none"/>
                <w:vertAlign w:val="baseline"/>
                <w:lang w:val="en-US" w:eastAsia="zh-CN" w:bidi="ar-SA"/>
              </w:rPr>
            </w:pPr>
            <w:r>
              <w:rPr>
                <w:rFonts w:hint="eastAsia" w:ascii="仿宋_GB2312" w:hAnsi="仿宋_GB2312" w:eastAsia="仿宋_GB2312" w:cs="仿宋_GB2312"/>
                <w:color w:val="auto"/>
                <w:spacing w:val="0"/>
                <w:kern w:val="2"/>
                <w:sz w:val="24"/>
                <w:szCs w:val="24"/>
                <w:highlight w:val="none"/>
                <w:u w:val="none"/>
                <w:vertAlign w:val="baseline"/>
                <w:lang w:val="en-US" w:eastAsia="zh-CN" w:bidi="ar-SA"/>
              </w:rPr>
              <w:t>陶瓷</w:t>
            </w:r>
          </w:p>
        </w:tc>
        <w:tc>
          <w:tcPr>
            <w:tcW w:w="3363" w:type="dxa"/>
            <w:vAlign w:val="center"/>
          </w:tcPr>
          <w:p w14:paraId="6302083B">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pacing w:val="0"/>
                <w:kern w:val="2"/>
                <w:sz w:val="24"/>
                <w:szCs w:val="24"/>
                <w:highlight w:val="none"/>
                <w:u w:val="none"/>
                <w:vertAlign w:val="baseline"/>
                <w:lang w:val="en-US" w:eastAsia="zh-CN" w:bidi="ar-SA"/>
              </w:rPr>
            </w:pPr>
            <w:r>
              <w:rPr>
                <w:rFonts w:hint="eastAsia" w:ascii="仿宋_GB2312" w:hAnsi="仿宋_GB2312" w:eastAsia="仿宋_GB2312" w:cs="仿宋_GB2312"/>
                <w:color w:val="auto"/>
                <w:spacing w:val="0"/>
                <w:kern w:val="2"/>
                <w:sz w:val="24"/>
                <w:szCs w:val="24"/>
                <w:highlight w:val="none"/>
                <w:u w:val="none"/>
                <w:vertAlign w:val="baseline"/>
                <w:lang w:val="en-US" w:eastAsia="zh-CN" w:bidi="ar-SA"/>
              </w:rPr>
              <w:t>卫生洁具等</w:t>
            </w:r>
          </w:p>
        </w:tc>
        <w:tc>
          <w:tcPr>
            <w:tcW w:w="2945" w:type="dxa"/>
            <w:vAlign w:val="center"/>
          </w:tcPr>
          <w:p w14:paraId="287C9C90">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kern w:val="2"/>
                <w:sz w:val="24"/>
                <w:szCs w:val="24"/>
                <w:highlight w:val="none"/>
                <w:u w:val="none"/>
                <w:vertAlign w:val="baseline"/>
                <w:lang w:val="en-US" w:eastAsia="zh-CN" w:bidi="ar-SA"/>
              </w:rPr>
            </w:pPr>
            <w:r>
              <w:rPr>
                <w:rFonts w:hint="eastAsia" w:ascii="仿宋_GB2312" w:hAnsi="仿宋_GB2312" w:eastAsia="仿宋_GB2312" w:cs="仿宋_GB2312"/>
                <w:color w:val="auto"/>
                <w:sz w:val="24"/>
                <w:szCs w:val="24"/>
                <w:highlight w:val="none"/>
                <w:u w:val="none"/>
                <w:vertAlign w:val="baseline"/>
                <w:lang w:eastAsia="zh-CN"/>
              </w:rPr>
              <w:t>专业企业直接回收利用</w:t>
            </w:r>
          </w:p>
        </w:tc>
      </w:tr>
      <w:tr w14:paraId="13A19E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749" w:type="dxa"/>
            <w:vMerge w:val="continue"/>
            <w:vAlign w:val="center"/>
          </w:tcPr>
          <w:p w14:paraId="5B7D3E87">
            <w:pPr>
              <w:pStyle w:val="15"/>
              <w:keepNext w:val="0"/>
              <w:keepLines w:val="0"/>
              <w:pageBreakBefore w:val="0"/>
              <w:widowControl w:val="0"/>
              <w:kinsoku/>
              <w:wordWrap/>
              <w:overflowPunct/>
              <w:topLinePunct w:val="0"/>
              <w:bidi w:val="0"/>
              <w:adjustRightInd/>
              <w:snapToGrid/>
              <w:spacing w:beforeAutospacing="0" w:afterAutospacing="0" w:line="400" w:lineRule="exact"/>
              <w:ind w:left="0" w:leftChars="0"/>
              <w:textAlignment w:val="auto"/>
              <w:rPr>
                <w:rFonts w:hint="eastAsia" w:ascii="仿宋_GB2312" w:hAnsi="仿宋_GB2312" w:eastAsia="仿宋_GB2312" w:cs="仿宋_GB2312"/>
                <w:color w:val="auto"/>
                <w:spacing w:val="0"/>
                <w:kern w:val="2"/>
                <w:sz w:val="24"/>
                <w:szCs w:val="24"/>
                <w:highlight w:val="none"/>
                <w:u w:val="none"/>
                <w:vertAlign w:val="baseline"/>
                <w:lang w:val="en-US" w:eastAsia="zh-CN" w:bidi="ar-SA"/>
              </w:rPr>
            </w:pPr>
          </w:p>
        </w:tc>
        <w:tc>
          <w:tcPr>
            <w:tcW w:w="1737" w:type="dxa"/>
            <w:vAlign w:val="center"/>
          </w:tcPr>
          <w:p w14:paraId="4C3F3E70">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pacing w:val="0"/>
                <w:kern w:val="2"/>
                <w:sz w:val="24"/>
                <w:szCs w:val="24"/>
                <w:highlight w:val="none"/>
                <w:u w:val="none"/>
                <w:vertAlign w:val="baseline"/>
                <w:lang w:val="en-US" w:eastAsia="zh-CN" w:bidi="ar-SA"/>
              </w:rPr>
            </w:pPr>
            <w:r>
              <w:rPr>
                <w:rFonts w:hint="eastAsia" w:ascii="仿宋_GB2312" w:hAnsi="仿宋_GB2312" w:eastAsia="仿宋_GB2312" w:cs="仿宋_GB2312"/>
                <w:color w:val="auto"/>
                <w:spacing w:val="0"/>
                <w:kern w:val="2"/>
                <w:sz w:val="24"/>
                <w:szCs w:val="24"/>
                <w:highlight w:val="none"/>
                <w:u w:val="none"/>
                <w:vertAlign w:val="baseline"/>
                <w:lang w:val="en-US" w:eastAsia="zh-CN" w:bidi="ar-SA"/>
              </w:rPr>
              <w:t>玻璃</w:t>
            </w:r>
          </w:p>
        </w:tc>
        <w:tc>
          <w:tcPr>
            <w:tcW w:w="3363" w:type="dxa"/>
            <w:vAlign w:val="center"/>
          </w:tcPr>
          <w:p w14:paraId="2E1AB295">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pacing w:val="0"/>
                <w:kern w:val="2"/>
                <w:sz w:val="24"/>
                <w:szCs w:val="24"/>
                <w:highlight w:val="none"/>
                <w:u w:val="none"/>
                <w:vertAlign w:val="baseline"/>
                <w:lang w:val="en-US" w:eastAsia="zh-CN" w:bidi="ar-SA"/>
              </w:rPr>
            </w:pPr>
            <w:r>
              <w:rPr>
                <w:rFonts w:hint="eastAsia" w:ascii="仿宋_GB2312" w:hAnsi="仿宋_GB2312" w:eastAsia="仿宋_GB2312" w:cs="仿宋_GB2312"/>
                <w:color w:val="auto"/>
                <w:spacing w:val="0"/>
                <w:kern w:val="2"/>
                <w:sz w:val="24"/>
                <w:szCs w:val="24"/>
                <w:highlight w:val="none"/>
                <w:u w:val="none"/>
                <w:vertAlign w:val="baseline"/>
                <w:lang w:val="en-US" w:eastAsia="zh-CN" w:bidi="ar-SA"/>
              </w:rPr>
              <w:t>门窗、幕墙、家具、广告牌等</w:t>
            </w:r>
          </w:p>
        </w:tc>
        <w:tc>
          <w:tcPr>
            <w:tcW w:w="2945" w:type="dxa"/>
            <w:vAlign w:val="center"/>
          </w:tcPr>
          <w:p w14:paraId="7C43273D">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kern w:val="2"/>
                <w:sz w:val="24"/>
                <w:szCs w:val="24"/>
                <w:highlight w:val="none"/>
                <w:u w:val="none"/>
                <w:vertAlign w:val="baseline"/>
                <w:lang w:val="en-US" w:eastAsia="zh-CN" w:bidi="ar-SA"/>
              </w:rPr>
            </w:pPr>
            <w:r>
              <w:rPr>
                <w:rFonts w:hint="eastAsia" w:ascii="仿宋_GB2312" w:hAnsi="仿宋_GB2312" w:eastAsia="仿宋_GB2312" w:cs="仿宋_GB2312"/>
                <w:color w:val="auto"/>
                <w:sz w:val="24"/>
                <w:szCs w:val="24"/>
                <w:highlight w:val="none"/>
                <w:u w:val="none"/>
                <w:vertAlign w:val="baseline"/>
                <w:lang w:eastAsia="zh-CN"/>
              </w:rPr>
              <w:t>专业企业直接回收利用</w:t>
            </w:r>
          </w:p>
        </w:tc>
      </w:tr>
      <w:tr w14:paraId="6F3332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749" w:type="dxa"/>
            <w:vMerge w:val="continue"/>
            <w:vAlign w:val="center"/>
          </w:tcPr>
          <w:p w14:paraId="43A20DCD">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highlight w:val="none"/>
                <w:u w:val="none"/>
                <w:vertAlign w:val="baseline"/>
                <w:lang w:eastAsia="zh-CN"/>
              </w:rPr>
            </w:pPr>
          </w:p>
        </w:tc>
        <w:tc>
          <w:tcPr>
            <w:tcW w:w="1737" w:type="dxa"/>
            <w:vAlign w:val="center"/>
          </w:tcPr>
          <w:p w14:paraId="1FD31AD9">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highlight w:val="none"/>
                <w:u w:val="none"/>
                <w:vertAlign w:val="baseline"/>
              </w:rPr>
            </w:pPr>
            <w:r>
              <w:rPr>
                <w:rFonts w:hint="eastAsia" w:ascii="仿宋_GB2312" w:hAnsi="仿宋_GB2312" w:eastAsia="仿宋_GB2312" w:cs="仿宋_GB2312"/>
                <w:color w:val="auto"/>
                <w:sz w:val="24"/>
                <w:szCs w:val="24"/>
                <w:highlight w:val="none"/>
                <w:u w:val="none"/>
                <w:vertAlign w:val="baseline"/>
              </w:rPr>
              <w:t>轻型墙体材料</w:t>
            </w:r>
          </w:p>
        </w:tc>
        <w:tc>
          <w:tcPr>
            <w:tcW w:w="3363" w:type="dxa"/>
            <w:vAlign w:val="center"/>
          </w:tcPr>
          <w:p w14:paraId="4ECF7EC5">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highlight w:val="none"/>
                <w:u w:val="none"/>
                <w:vertAlign w:val="baseline"/>
              </w:rPr>
            </w:pPr>
            <w:r>
              <w:rPr>
                <w:rFonts w:hint="eastAsia" w:ascii="仿宋_GB2312" w:hAnsi="仿宋_GB2312" w:eastAsia="仿宋_GB2312" w:cs="仿宋_GB2312"/>
                <w:color w:val="auto"/>
                <w:sz w:val="24"/>
                <w:szCs w:val="24"/>
                <w:highlight w:val="none"/>
                <w:u w:val="none"/>
                <w:vertAlign w:val="baseline"/>
              </w:rPr>
              <w:t>墙体</w:t>
            </w:r>
          </w:p>
        </w:tc>
        <w:tc>
          <w:tcPr>
            <w:tcW w:w="2945" w:type="dxa"/>
            <w:vAlign w:val="center"/>
          </w:tcPr>
          <w:p w14:paraId="102173E9">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kern w:val="2"/>
                <w:sz w:val="24"/>
                <w:szCs w:val="24"/>
                <w:highlight w:val="none"/>
                <w:u w:val="none"/>
                <w:vertAlign w:val="baseline"/>
                <w:lang w:val="en-US" w:eastAsia="zh-CN" w:bidi="ar-SA"/>
              </w:rPr>
            </w:pPr>
            <w:r>
              <w:rPr>
                <w:rFonts w:hint="eastAsia" w:ascii="仿宋_GB2312" w:hAnsi="仿宋_GB2312" w:eastAsia="仿宋_GB2312" w:cs="仿宋_GB2312"/>
                <w:color w:val="auto"/>
                <w:sz w:val="24"/>
                <w:szCs w:val="24"/>
                <w:highlight w:val="none"/>
                <w:u w:val="none"/>
                <w:vertAlign w:val="baseline"/>
                <w:lang w:eastAsia="zh-CN"/>
              </w:rPr>
              <w:t>专业企业直接回收利用</w:t>
            </w:r>
          </w:p>
        </w:tc>
      </w:tr>
      <w:tr w14:paraId="079674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749" w:type="dxa"/>
            <w:vMerge w:val="continue"/>
            <w:vAlign w:val="center"/>
          </w:tcPr>
          <w:p w14:paraId="225A0121">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highlight w:val="none"/>
                <w:u w:val="none"/>
                <w:vertAlign w:val="baseline"/>
                <w:lang w:eastAsia="zh-CN"/>
              </w:rPr>
            </w:pPr>
          </w:p>
        </w:tc>
        <w:tc>
          <w:tcPr>
            <w:tcW w:w="1737" w:type="dxa"/>
            <w:vAlign w:val="center"/>
          </w:tcPr>
          <w:p w14:paraId="1F5BDADC">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highlight w:val="none"/>
                <w:u w:val="none"/>
                <w:vertAlign w:val="baseline"/>
              </w:rPr>
            </w:pPr>
            <w:r>
              <w:rPr>
                <w:rFonts w:hint="eastAsia" w:ascii="仿宋_GB2312" w:hAnsi="仿宋_GB2312" w:eastAsia="仿宋_GB2312" w:cs="仿宋_GB2312"/>
                <w:color w:val="auto"/>
                <w:sz w:val="24"/>
                <w:szCs w:val="24"/>
                <w:highlight w:val="none"/>
                <w:u w:val="none"/>
                <w:vertAlign w:val="baseline"/>
              </w:rPr>
              <w:t>石膏</w:t>
            </w:r>
          </w:p>
        </w:tc>
        <w:tc>
          <w:tcPr>
            <w:tcW w:w="3363" w:type="dxa"/>
            <w:vAlign w:val="center"/>
          </w:tcPr>
          <w:p w14:paraId="764A1007">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highlight w:val="none"/>
                <w:u w:val="none"/>
                <w:vertAlign w:val="baseline"/>
              </w:rPr>
            </w:pPr>
            <w:r>
              <w:rPr>
                <w:rFonts w:hint="eastAsia" w:ascii="仿宋_GB2312" w:hAnsi="仿宋_GB2312" w:eastAsia="仿宋_GB2312" w:cs="仿宋_GB2312"/>
                <w:color w:val="auto"/>
                <w:sz w:val="24"/>
                <w:szCs w:val="24"/>
                <w:highlight w:val="none"/>
                <w:u w:val="none"/>
                <w:vertAlign w:val="baseline"/>
              </w:rPr>
              <w:t>吊顶、墙体</w:t>
            </w:r>
          </w:p>
        </w:tc>
        <w:tc>
          <w:tcPr>
            <w:tcW w:w="2945" w:type="dxa"/>
            <w:vAlign w:val="center"/>
          </w:tcPr>
          <w:p w14:paraId="2CBFD0EB">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kern w:val="2"/>
                <w:sz w:val="24"/>
                <w:szCs w:val="24"/>
                <w:highlight w:val="none"/>
                <w:u w:val="none"/>
                <w:vertAlign w:val="baseline"/>
                <w:lang w:val="en-US" w:eastAsia="zh-CN" w:bidi="ar-SA"/>
              </w:rPr>
            </w:pPr>
            <w:r>
              <w:rPr>
                <w:rFonts w:hint="eastAsia" w:ascii="仿宋_GB2312" w:hAnsi="仿宋_GB2312" w:eastAsia="仿宋_GB2312" w:cs="仿宋_GB2312"/>
                <w:color w:val="auto"/>
                <w:sz w:val="24"/>
                <w:szCs w:val="24"/>
                <w:highlight w:val="none"/>
                <w:u w:val="none"/>
                <w:vertAlign w:val="baseline"/>
                <w:lang w:eastAsia="zh-CN"/>
              </w:rPr>
              <w:t>专业企业直接回收利用</w:t>
            </w:r>
          </w:p>
        </w:tc>
      </w:tr>
      <w:tr w14:paraId="0C3AA5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49" w:type="dxa"/>
            <w:vMerge w:val="continue"/>
            <w:vAlign w:val="center"/>
          </w:tcPr>
          <w:p w14:paraId="0FB6583A">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highlight w:val="none"/>
                <w:u w:val="none"/>
                <w:vertAlign w:val="baseline"/>
              </w:rPr>
            </w:pPr>
          </w:p>
        </w:tc>
        <w:tc>
          <w:tcPr>
            <w:tcW w:w="1737" w:type="dxa"/>
            <w:vAlign w:val="center"/>
          </w:tcPr>
          <w:p w14:paraId="289BB314">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highlight w:val="none"/>
                <w:u w:val="none"/>
                <w:vertAlign w:val="baseline"/>
                <w:lang w:eastAsia="zh-CN"/>
              </w:rPr>
            </w:pPr>
            <w:r>
              <w:rPr>
                <w:rFonts w:hint="eastAsia" w:ascii="仿宋_GB2312" w:hAnsi="仿宋_GB2312" w:eastAsia="仿宋_GB2312" w:cs="仿宋_GB2312"/>
                <w:color w:val="auto"/>
                <w:sz w:val="24"/>
                <w:szCs w:val="24"/>
                <w:highlight w:val="none"/>
                <w:u w:val="none"/>
                <w:vertAlign w:val="baseline"/>
                <w:lang w:eastAsia="zh-CN"/>
              </w:rPr>
              <w:t>土</w:t>
            </w:r>
          </w:p>
        </w:tc>
        <w:tc>
          <w:tcPr>
            <w:tcW w:w="3363" w:type="dxa"/>
            <w:vAlign w:val="center"/>
          </w:tcPr>
          <w:p w14:paraId="4664B109">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highlight w:val="none"/>
                <w:u w:val="none"/>
                <w:vertAlign w:val="baseline"/>
              </w:rPr>
            </w:pPr>
            <w:r>
              <w:rPr>
                <w:rFonts w:hint="eastAsia" w:ascii="仿宋_GB2312" w:hAnsi="仿宋_GB2312" w:eastAsia="仿宋_GB2312" w:cs="仿宋_GB2312"/>
                <w:color w:val="auto"/>
                <w:sz w:val="24"/>
                <w:szCs w:val="24"/>
                <w:highlight w:val="none"/>
                <w:u w:val="none"/>
                <w:vertAlign w:val="baseline"/>
              </w:rPr>
              <w:t>墙体、基础</w:t>
            </w:r>
          </w:p>
        </w:tc>
        <w:tc>
          <w:tcPr>
            <w:tcW w:w="2945" w:type="dxa"/>
            <w:vAlign w:val="center"/>
          </w:tcPr>
          <w:p w14:paraId="3BF173ED">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kern w:val="2"/>
                <w:sz w:val="24"/>
                <w:szCs w:val="24"/>
                <w:highlight w:val="none"/>
                <w:u w:val="none"/>
                <w:vertAlign w:val="baseline"/>
                <w:lang w:val="en-US" w:eastAsia="zh-CN" w:bidi="ar-SA"/>
              </w:rPr>
            </w:pPr>
            <w:r>
              <w:rPr>
                <w:rFonts w:hint="eastAsia" w:ascii="仿宋_GB2312" w:hAnsi="仿宋_GB2312" w:eastAsia="仿宋_GB2312" w:cs="仿宋_GB2312"/>
                <w:color w:val="auto"/>
                <w:sz w:val="24"/>
                <w:szCs w:val="24"/>
                <w:highlight w:val="none"/>
                <w:u w:val="none"/>
                <w:vertAlign w:val="baseline"/>
                <w:lang w:eastAsia="zh-CN"/>
              </w:rPr>
              <w:t>就地直接利用或消纳填埋</w:t>
            </w:r>
          </w:p>
        </w:tc>
      </w:tr>
      <w:tr w14:paraId="396B7C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49" w:type="dxa"/>
            <w:vMerge w:val="restart"/>
            <w:vAlign w:val="center"/>
          </w:tcPr>
          <w:p w14:paraId="28F4E1BD">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highlight w:val="none"/>
                <w:u w:val="none"/>
                <w:vertAlign w:val="baseline"/>
              </w:rPr>
            </w:pPr>
            <w:r>
              <w:rPr>
                <w:rFonts w:hint="eastAsia" w:ascii="仿宋_GB2312" w:hAnsi="仿宋_GB2312" w:eastAsia="仿宋_GB2312" w:cs="仿宋_GB2312"/>
                <w:color w:val="auto"/>
                <w:sz w:val="24"/>
                <w:szCs w:val="24"/>
                <w:highlight w:val="none"/>
                <w:u w:val="none"/>
                <w:vertAlign w:val="baseline"/>
              </w:rPr>
              <w:t>金属类</w:t>
            </w:r>
          </w:p>
        </w:tc>
        <w:tc>
          <w:tcPr>
            <w:tcW w:w="1737" w:type="dxa"/>
            <w:vAlign w:val="center"/>
          </w:tcPr>
          <w:p w14:paraId="012376A2">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highlight w:val="none"/>
                <w:u w:val="none"/>
                <w:vertAlign w:val="baseline"/>
              </w:rPr>
            </w:pPr>
            <w:r>
              <w:rPr>
                <w:rFonts w:hint="eastAsia" w:ascii="仿宋_GB2312" w:hAnsi="仿宋_GB2312" w:eastAsia="仿宋_GB2312" w:cs="仿宋_GB2312"/>
                <w:color w:val="auto"/>
                <w:sz w:val="24"/>
                <w:szCs w:val="24"/>
                <w:highlight w:val="none"/>
                <w:u w:val="none"/>
                <w:vertAlign w:val="baseline"/>
              </w:rPr>
              <w:t>钢、铁</w:t>
            </w:r>
          </w:p>
        </w:tc>
        <w:tc>
          <w:tcPr>
            <w:tcW w:w="3363" w:type="dxa"/>
            <w:vAlign w:val="center"/>
          </w:tcPr>
          <w:p w14:paraId="6D798019">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highlight w:val="none"/>
                <w:u w:val="none"/>
                <w:vertAlign w:val="baseline"/>
              </w:rPr>
            </w:pPr>
            <w:r>
              <w:rPr>
                <w:rFonts w:hint="eastAsia" w:ascii="仿宋_GB2312" w:hAnsi="仿宋_GB2312" w:eastAsia="仿宋_GB2312" w:cs="仿宋_GB2312"/>
                <w:color w:val="auto"/>
                <w:sz w:val="24"/>
                <w:szCs w:val="24"/>
                <w:highlight w:val="none"/>
                <w:u w:val="none"/>
                <w:vertAlign w:val="baseline"/>
              </w:rPr>
              <w:t>电梯、结构钢材、钢筋混凝土、门窗、广告牌、护栏管道等</w:t>
            </w:r>
          </w:p>
        </w:tc>
        <w:tc>
          <w:tcPr>
            <w:tcW w:w="2945" w:type="dxa"/>
            <w:vAlign w:val="center"/>
          </w:tcPr>
          <w:p w14:paraId="10057289">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kern w:val="2"/>
                <w:sz w:val="24"/>
                <w:szCs w:val="24"/>
                <w:highlight w:val="none"/>
                <w:u w:val="none"/>
                <w:vertAlign w:val="baseline"/>
                <w:lang w:val="en-US" w:eastAsia="zh-CN" w:bidi="ar-SA"/>
              </w:rPr>
            </w:pPr>
            <w:r>
              <w:rPr>
                <w:rFonts w:hint="eastAsia" w:ascii="仿宋_GB2312" w:hAnsi="仿宋_GB2312" w:eastAsia="仿宋_GB2312" w:cs="仿宋_GB2312"/>
                <w:color w:val="auto"/>
                <w:sz w:val="24"/>
                <w:szCs w:val="24"/>
                <w:highlight w:val="none"/>
                <w:u w:val="none"/>
                <w:vertAlign w:val="baseline"/>
                <w:lang w:eastAsia="zh-CN"/>
              </w:rPr>
              <w:t>专业企业直接回收利用</w:t>
            </w:r>
          </w:p>
        </w:tc>
      </w:tr>
      <w:tr w14:paraId="2E620E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49" w:type="dxa"/>
            <w:vMerge w:val="continue"/>
            <w:vAlign w:val="center"/>
          </w:tcPr>
          <w:p w14:paraId="48551DCE">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highlight w:val="none"/>
                <w:u w:val="none"/>
                <w:vertAlign w:val="baseline"/>
              </w:rPr>
            </w:pPr>
          </w:p>
        </w:tc>
        <w:tc>
          <w:tcPr>
            <w:tcW w:w="1737" w:type="dxa"/>
            <w:vAlign w:val="center"/>
          </w:tcPr>
          <w:p w14:paraId="7BBE86D3">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highlight w:val="none"/>
                <w:u w:val="none"/>
                <w:vertAlign w:val="baseline"/>
                <w:lang w:eastAsia="zh-CN"/>
              </w:rPr>
            </w:pPr>
            <w:r>
              <w:rPr>
                <w:rFonts w:hint="eastAsia" w:ascii="仿宋_GB2312" w:hAnsi="仿宋_GB2312" w:eastAsia="仿宋_GB2312" w:cs="仿宋_GB2312"/>
                <w:color w:val="auto"/>
                <w:sz w:val="24"/>
                <w:szCs w:val="24"/>
                <w:highlight w:val="none"/>
                <w:u w:val="none"/>
                <w:vertAlign w:val="baseline"/>
                <w:lang w:eastAsia="zh-CN"/>
              </w:rPr>
              <w:t>铝</w:t>
            </w:r>
          </w:p>
        </w:tc>
        <w:tc>
          <w:tcPr>
            <w:tcW w:w="3363" w:type="dxa"/>
            <w:vAlign w:val="center"/>
          </w:tcPr>
          <w:p w14:paraId="4AA6C850">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highlight w:val="none"/>
                <w:u w:val="none"/>
                <w:vertAlign w:val="baseline"/>
              </w:rPr>
            </w:pPr>
            <w:r>
              <w:rPr>
                <w:rFonts w:hint="eastAsia" w:ascii="仿宋_GB2312" w:hAnsi="仿宋_GB2312" w:eastAsia="仿宋_GB2312" w:cs="仿宋_GB2312"/>
                <w:color w:val="auto"/>
                <w:sz w:val="24"/>
                <w:szCs w:val="24"/>
                <w:highlight w:val="none"/>
                <w:u w:val="none"/>
                <w:vertAlign w:val="baseline"/>
              </w:rPr>
              <w:t>吊顶、广告牌等</w:t>
            </w:r>
          </w:p>
        </w:tc>
        <w:tc>
          <w:tcPr>
            <w:tcW w:w="2945" w:type="dxa"/>
            <w:vAlign w:val="center"/>
          </w:tcPr>
          <w:p w14:paraId="3901011E">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kern w:val="2"/>
                <w:sz w:val="24"/>
                <w:szCs w:val="24"/>
                <w:highlight w:val="none"/>
                <w:u w:val="none"/>
                <w:vertAlign w:val="baseline"/>
                <w:lang w:val="en-US" w:eastAsia="zh-CN" w:bidi="ar-SA"/>
              </w:rPr>
            </w:pPr>
            <w:r>
              <w:rPr>
                <w:rFonts w:hint="eastAsia" w:ascii="仿宋_GB2312" w:hAnsi="仿宋_GB2312" w:eastAsia="仿宋_GB2312" w:cs="仿宋_GB2312"/>
                <w:color w:val="auto"/>
                <w:sz w:val="24"/>
                <w:szCs w:val="24"/>
                <w:highlight w:val="none"/>
                <w:u w:val="none"/>
                <w:vertAlign w:val="baseline"/>
                <w:lang w:eastAsia="zh-CN"/>
              </w:rPr>
              <w:t>专业企业直接回收利用</w:t>
            </w:r>
          </w:p>
        </w:tc>
      </w:tr>
      <w:tr w14:paraId="4A3493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49" w:type="dxa"/>
            <w:vMerge w:val="continue"/>
            <w:vAlign w:val="center"/>
          </w:tcPr>
          <w:p w14:paraId="5808A46D">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highlight w:val="none"/>
                <w:u w:val="none"/>
                <w:vertAlign w:val="baseline"/>
              </w:rPr>
            </w:pPr>
          </w:p>
        </w:tc>
        <w:tc>
          <w:tcPr>
            <w:tcW w:w="1737" w:type="dxa"/>
            <w:vAlign w:val="center"/>
          </w:tcPr>
          <w:p w14:paraId="4F4AE5E0">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highlight w:val="none"/>
                <w:u w:val="none"/>
                <w:vertAlign w:val="baseline"/>
                <w:lang w:val="en-US" w:eastAsia="zh-CN"/>
              </w:rPr>
            </w:pPr>
            <w:r>
              <w:rPr>
                <w:rFonts w:hint="eastAsia" w:ascii="仿宋_GB2312" w:hAnsi="仿宋_GB2312" w:eastAsia="仿宋_GB2312" w:cs="仿宋_GB2312"/>
                <w:color w:val="auto"/>
                <w:sz w:val="24"/>
                <w:szCs w:val="24"/>
                <w:highlight w:val="none"/>
                <w:u w:val="none"/>
                <w:vertAlign w:val="baseline"/>
              </w:rPr>
              <w:t>铜</w:t>
            </w:r>
          </w:p>
        </w:tc>
        <w:tc>
          <w:tcPr>
            <w:tcW w:w="3363" w:type="dxa"/>
            <w:vAlign w:val="center"/>
          </w:tcPr>
          <w:p w14:paraId="36821467">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highlight w:val="none"/>
                <w:u w:val="none"/>
                <w:vertAlign w:val="baseline"/>
                <w:lang w:val="en-US" w:eastAsia="zh-CN"/>
              </w:rPr>
            </w:pPr>
            <w:r>
              <w:rPr>
                <w:rFonts w:hint="eastAsia" w:ascii="仿宋_GB2312" w:hAnsi="仿宋_GB2312" w:eastAsia="仿宋_GB2312" w:cs="仿宋_GB2312"/>
                <w:color w:val="auto"/>
                <w:sz w:val="24"/>
                <w:szCs w:val="24"/>
                <w:highlight w:val="none"/>
                <w:u w:val="none"/>
                <w:vertAlign w:val="baseline"/>
              </w:rPr>
              <w:t>装饰部件、电线等</w:t>
            </w:r>
          </w:p>
        </w:tc>
        <w:tc>
          <w:tcPr>
            <w:tcW w:w="2945" w:type="dxa"/>
            <w:vAlign w:val="center"/>
          </w:tcPr>
          <w:p w14:paraId="46BD9B91">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kern w:val="2"/>
                <w:sz w:val="24"/>
                <w:szCs w:val="24"/>
                <w:highlight w:val="none"/>
                <w:u w:val="none"/>
                <w:vertAlign w:val="baseline"/>
                <w:lang w:val="en-US" w:eastAsia="zh-CN" w:bidi="ar-SA"/>
              </w:rPr>
            </w:pPr>
            <w:r>
              <w:rPr>
                <w:rFonts w:hint="eastAsia" w:ascii="仿宋_GB2312" w:hAnsi="仿宋_GB2312" w:eastAsia="仿宋_GB2312" w:cs="仿宋_GB2312"/>
                <w:color w:val="auto"/>
                <w:sz w:val="24"/>
                <w:szCs w:val="24"/>
                <w:highlight w:val="none"/>
                <w:u w:val="none"/>
                <w:vertAlign w:val="baseline"/>
                <w:lang w:eastAsia="zh-CN"/>
              </w:rPr>
              <w:t>专业企业直接回收利用</w:t>
            </w:r>
          </w:p>
        </w:tc>
      </w:tr>
      <w:tr w14:paraId="2E80DD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49" w:type="dxa"/>
            <w:vMerge w:val="continue"/>
            <w:vAlign w:val="center"/>
          </w:tcPr>
          <w:p w14:paraId="6D926292">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highlight w:val="none"/>
                <w:u w:val="none"/>
                <w:vertAlign w:val="baseline"/>
              </w:rPr>
            </w:pPr>
          </w:p>
        </w:tc>
        <w:tc>
          <w:tcPr>
            <w:tcW w:w="1737" w:type="dxa"/>
            <w:vAlign w:val="center"/>
          </w:tcPr>
          <w:p w14:paraId="791CCDBE">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highlight w:val="none"/>
                <w:u w:val="none"/>
                <w:vertAlign w:val="baseline"/>
              </w:rPr>
            </w:pPr>
            <w:r>
              <w:rPr>
                <w:rFonts w:hint="eastAsia" w:ascii="仿宋_GB2312" w:hAnsi="仿宋_GB2312" w:eastAsia="仿宋_GB2312" w:cs="仿宋_GB2312"/>
                <w:color w:val="auto"/>
                <w:sz w:val="24"/>
                <w:szCs w:val="24"/>
                <w:highlight w:val="none"/>
                <w:u w:val="none"/>
                <w:vertAlign w:val="baseline"/>
              </w:rPr>
              <w:t>其他合金</w:t>
            </w:r>
          </w:p>
        </w:tc>
        <w:tc>
          <w:tcPr>
            <w:tcW w:w="3363" w:type="dxa"/>
            <w:vAlign w:val="center"/>
          </w:tcPr>
          <w:p w14:paraId="7E7EDAE5">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highlight w:val="none"/>
                <w:u w:val="none"/>
                <w:vertAlign w:val="baseline"/>
              </w:rPr>
            </w:pPr>
            <w:r>
              <w:rPr>
                <w:rFonts w:hint="eastAsia" w:ascii="仿宋_GB2312" w:hAnsi="仿宋_GB2312" w:eastAsia="仿宋_GB2312" w:cs="仿宋_GB2312"/>
                <w:color w:val="auto"/>
                <w:sz w:val="24"/>
                <w:szCs w:val="24"/>
                <w:highlight w:val="none"/>
                <w:u w:val="none"/>
                <w:vertAlign w:val="baseline"/>
              </w:rPr>
              <w:t>装饰部件等</w:t>
            </w:r>
          </w:p>
        </w:tc>
        <w:tc>
          <w:tcPr>
            <w:tcW w:w="2945" w:type="dxa"/>
            <w:vAlign w:val="center"/>
          </w:tcPr>
          <w:p w14:paraId="56EC7708">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kern w:val="2"/>
                <w:sz w:val="24"/>
                <w:szCs w:val="24"/>
                <w:highlight w:val="none"/>
                <w:u w:val="none"/>
                <w:vertAlign w:val="baseline"/>
                <w:lang w:val="en-US" w:eastAsia="zh-CN" w:bidi="ar-SA"/>
              </w:rPr>
            </w:pPr>
            <w:r>
              <w:rPr>
                <w:rFonts w:hint="eastAsia" w:ascii="仿宋_GB2312" w:hAnsi="仿宋_GB2312" w:eastAsia="仿宋_GB2312" w:cs="仿宋_GB2312"/>
                <w:color w:val="auto"/>
                <w:sz w:val="24"/>
                <w:szCs w:val="24"/>
                <w:highlight w:val="none"/>
                <w:u w:val="none"/>
                <w:vertAlign w:val="baseline"/>
                <w:lang w:eastAsia="zh-CN"/>
              </w:rPr>
              <w:t>专业企业直接回收利用</w:t>
            </w:r>
          </w:p>
        </w:tc>
      </w:tr>
      <w:tr w14:paraId="7660A5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49" w:type="dxa"/>
            <w:vMerge w:val="restart"/>
            <w:vAlign w:val="center"/>
          </w:tcPr>
          <w:p w14:paraId="451A2D37">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highlight w:val="none"/>
                <w:u w:val="none"/>
                <w:vertAlign w:val="baseline"/>
                <w:lang w:eastAsia="zh-CN"/>
              </w:rPr>
            </w:pPr>
            <w:r>
              <w:rPr>
                <w:rFonts w:hint="eastAsia" w:ascii="仿宋_GB2312" w:hAnsi="仿宋_GB2312" w:eastAsia="仿宋_GB2312" w:cs="仿宋_GB2312"/>
                <w:color w:val="auto"/>
                <w:sz w:val="24"/>
                <w:szCs w:val="24"/>
                <w:highlight w:val="none"/>
                <w:u w:val="none"/>
                <w:vertAlign w:val="baseline"/>
                <w:lang w:eastAsia="zh-CN"/>
              </w:rPr>
              <w:t>有机类</w:t>
            </w:r>
          </w:p>
        </w:tc>
        <w:tc>
          <w:tcPr>
            <w:tcW w:w="1737" w:type="dxa"/>
            <w:vAlign w:val="center"/>
          </w:tcPr>
          <w:p w14:paraId="099BA914">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highlight w:val="none"/>
                <w:u w:val="none"/>
                <w:vertAlign w:val="baseline"/>
              </w:rPr>
            </w:pPr>
            <w:r>
              <w:rPr>
                <w:rFonts w:hint="eastAsia" w:ascii="仿宋_GB2312" w:hAnsi="仿宋_GB2312" w:eastAsia="仿宋_GB2312" w:cs="仿宋_GB2312"/>
                <w:color w:val="auto"/>
                <w:sz w:val="24"/>
                <w:szCs w:val="24"/>
                <w:highlight w:val="none"/>
                <w:u w:val="none"/>
                <w:vertAlign w:val="baseline"/>
              </w:rPr>
              <w:t>木材</w:t>
            </w:r>
          </w:p>
        </w:tc>
        <w:tc>
          <w:tcPr>
            <w:tcW w:w="3363" w:type="dxa"/>
            <w:vAlign w:val="center"/>
          </w:tcPr>
          <w:p w14:paraId="1C4A932B">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highlight w:val="none"/>
                <w:u w:val="none"/>
                <w:vertAlign w:val="baseline"/>
              </w:rPr>
            </w:pPr>
            <w:r>
              <w:rPr>
                <w:rFonts w:hint="eastAsia" w:ascii="仿宋_GB2312" w:hAnsi="仿宋_GB2312" w:eastAsia="仿宋_GB2312" w:cs="仿宋_GB2312"/>
                <w:color w:val="auto"/>
                <w:sz w:val="24"/>
                <w:szCs w:val="24"/>
                <w:highlight w:val="none"/>
                <w:u w:val="none"/>
                <w:vertAlign w:val="baseline"/>
              </w:rPr>
              <w:t>门窗、家具、梁柱、屋顶、广告牌等</w:t>
            </w:r>
          </w:p>
        </w:tc>
        <w:tc>
          <w:tcPr>
            <w:tcW w:w="2945" w:type="dxa"/>
            <w:vAlign w:val="center"/>
          </w:tcPr>
          <w:p w14:paraId="21658EDA">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kern w:val="2"/>
                <w:sz w:val="24"/>
                <w:szCs w:val="24"/>
                <w:highlight w:val="none"/>
                <w:u w:val="none"/>
                <w:vertAlign w:val="baseline"/>
                <w:lang w:val="en-US" w:eastAsia="zh-CN" w:bidi="ar-SA"/>
              </w:rPr>
            </w:pPr>
            <w:r>
              <w:rPr>
                <w:rFonts w:hint="eastAsia" w:ascii="仿宋_GB2312" w:hAnsi="仿宋_GB2312" w:eastAsia="仿宋_GB2312" w:cs="仿宋_GB2312"/>
                <w:color w:val="auto"/>
                <w:sz w:val="24"/>
                <w:szCs w:val="24"/>
                <w:highlight w:val="none"/>
                <w:u w:val="none"/>
                <w:vertAlign w:val="baseline"/>
                <w:lang w:eastAsia="zh-CN"/>
              </w:rPr>
              <w:t>专业企业直接回收利用</w:t>
            </w:r>
          </w:p>
        </w:tc>
      </w:tr>
      <w:tr w14:paraId="1C7720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49" w:type="dxa"/>
            <w:vMerge w:val="continue"/>
            <w:vAlign w:val="center"/>
          </w:tcPr>
          <w:p w14:paraId="119A3EC8">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highlight w:val="none"/>
                <w:u w:val="none"/>
                <w:vertAlign w:val="baseline"/>
              </w:rPr>
            </w:pPr>
          </w:p>
        </w:tc>
        <w:tc>
          <w:tcPr>
            <w:tcW w:w="1737" w:type="dxa"/>
            <w:vAlign w:val="center"/>
          </w:tcPr>
          <w:p w14:paraId="15610E73">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highlight w:val="none"/>
                <w:u w:val="none"/>
                <w:vertAlign w:val="baseline"/>
              </w:rPr>
            </w:pPr>
            <w:r>
              <w:rPr>
                <w:rFonts w:hint="eastAsia" w:ascii="仿宋_GB2312" w:hAnsi="仿宋_GB2312" w:eastAsia="仿宋_GB2312" w:cs="仿宋_GB2312"/>
                <w:color w:val="auto"/>
                <w:sz w:val="24"/>
                <w:szCs w:val="24"/>
                <w:highlight w:val="none"/>
                <w:u w:val="none"/>
                <w:vertAlign w:val="baseline"/>
              </w:rPr>
              <w:t>塑料、织物</w:t>
            </w:r>
          </w:p>
        </w:tc>
        <w:tc>
          <w:tcPr>
            <w:tcW w:w="3363" w:type="dxa"/>
            <w:vAlign w:val="center"/>
          </w:tcPr>
          <w:p w14:paraId="162CA7AC">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highlight w:val="none"/>
                <w:u w:val="none"/>
                <w:vertAlign w:val="baseline"/>
              </w:rPr>
            </w:pPr>
            <w:r>
              <w:rPr>
                <w:rFonts w:hint="eastAsia" w:ascii="仿宋_GB2312" w:hAnsi="仿宋_GB2312" w:eastAsia="仿宋_GB2312" w:cs="仿宋_GB2312"/>
                <w:color w:val="auto"/>
                <w:sz w:val="24"/>
                <w:szCs w:val="24"/>
                <w:highlight w:val="none"/>
                <w:u w:val="none"/>
                <w:vertAlign w:val="baseline"/>
              </w:rPr>
              <w:t>门窗、管道、防水层、家具、吊顶</w:t>
            </w:r>
            <w:r>
              <w:rPr>
                <w:rFonts w:hint="eastAsia" w:ascii="仿宋_GB2312" w:hAnsi="仿宋_GB2312" w:eastAsia="仿宋_GB2312" w:cs="仿宋_GB2312"/>
                <w:color w:val="auto"/>
                <w:sz w:val="24"/>
                <w:szCs w:val="24"/>
                <w:highlight w:val="none"/>
                <w:u w:val="none"/>
                <w:vertAlign w:val="baseline"/>
                <w:lang w:eastAsia="zh-CN"/>
              </w:rPr>
              <w:t>、</w:t>
            </w:r>
            <w:r>
              <w:rPr>
                <w:rFonts w:hint="eastAsia" w:ascii="仿宋_GB2312" w:hAnsi="仿宋_GB2312" w:eastAsia="仿宋_GB2312" w:cs="仿宋_GB2312"/>
                <w:color w:val="auto"/>
                <w:sz w:val="24"/>
                <w:szCs w:val="24"/>
                <w:highlight w:val="none"/>
                <w:u w:val="none"/>
                <w:vertAlign w:val="baseline"/>
              </w:rPr>
              <w:t>墙纸、包装等</w:t>
            </w:r>
          </w:p>
        </w:tc>
        <w:tc>
          <w:tcPr>
            <w:tcW w:w="2945" w:type="dxa"/>
            <w:vAlign w:val="center"/>
          </w:tcPr>
          <w:p w14:paraId="2EACA22A">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kern w:val="2"/>
                <w:sz w:val="24"/>
                <w:szCs w:val="24"/>
                <w:highlight w:val="none"/>
                <w:u w:val="none"/>
                <w:vertAlign w:val="baseline"/>
                <w:lang w:val="en-US" w:eastAsia="zh-CN" w:bidi="ar-SA"/>
              </w:rPr>
            </w:pPr>
            <w:r>
              <w:rPr>
                <w:rFonts w:hint="eastAsia" w:ascii="仿宋_GB2312" w:hAnsi="仿宋_GB2312" w:eastAsia="仿宋_GB2312" w:cs="仿宋_GB2312"/>
                <w:color w:val="auto"/>
                <w:sz w:val="24"/>
                <w:szCs w:val="24"/>
                <w:highlight w:val="none"/>
                <w:u w:val="none"/>
                <w:vertAlign w:val="baseline"/>
                <w:lang w:eastAsia="zh-CN"/>
              </w:rPr>
              <w:t>专业企业直接回收利用</w:t>
            </w:r>
          </w:p>
        </w:tc>
      </w:tr>
      <w:tr w14:paraId="285591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49" w:type="dxa"/>
            <w:vMerge w:val="continue"/>
            <w:vAlign w:val="center"/>
          </w:tcPr>
          <w:p w14:paraId="3CB759F1">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highlight w:val="none"/>
                <w:u w:val="none"/>
                <w:vertAlign w:val="baseline"/>
              </w:rPr>
            </w:pPr>
          </w:p>
        </w:tc>
        <w:tc>
          <w:tcPr>
            <w:tcW w:w="1737" w:type="dxa"/>
            <w:vAlign w:val="center"/>
          </w:tcPr>
          <w:p w14:paraId="04F3A5FE">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highlight w:val="none"/>
                <w:u w:val="none"/>
                <w:vertAlign w:val="baseline"/>
              </w:rPr>
            </w:pPr>
            <w:r>
              <w:rPr>
                <w:rFonts w:hint="eastAsia" w:ascii="仿宋_GB2312" w:hAnsi="仿宋_GB2312" w:eastAsia="仿宋_GB2312" w:cs="仿宋_GB2312"/>
                <w:color w:val="auto"/>
                <w:sz w:val="24"/>
                <w:szCs w:val="24"/>
                <w:highlight w:val="none"/>
                <w:u w:val="none"/>
                <w:vertAlign w:val="baseline"/>
              </w:rPr>
              <w:t>纸类</w:t>
            </w:r>
          </w:p>
        </w:tc>
        <w:tc>
          <w:tcPr>
            <w:tcW w:w="3363" w:type="dxa"/>
            <w:vAlign w:val="center"/>
          </w:tcPr>
          <w:p w14:paraId="3D2E5B28">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highlight w:val="none"/>
                <w:u w:val="none"/>
                <w:vertAlign w:val="baseline"/>
              </w:rPr>
            </w:pPr>
            <w:r>
              <w:rPr>
                <w:rFonts w:hint="eastAsia" w:ascii="仿宋_GB2312" w:hAnsi="仿宋_GB2312" w:eastAsia="仿宋_GB2312" w:cs="仿宋_GB2312"/>
                <w:color w:val="auto"/>
                <w:sz w:val="24"/>
                <w:szCs w:val="24"/>
                <w:highlight w:val="none"/>
                <w:u w:val="none"/>
                <w:vertAlign w:val="baseline"/>
              </w:rPr>
              <w:t>墙纸、书籍、广告画、包装等</w:t>
            </w:r>
          </w:p>
        </w:tc>
        <w:tc>
          <w:tcPr>
            <w:tcW w:w="2945" w:type="dxa"/>
            <w:vAlign w:val="center"/>
          </w:tcPr>
          <w:p w14:paraId="10AC05E9">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kern w:val="2"/>
                <w:sz w:val="24"/>
                <w:szCs w:val="24"/>
                <w:highlight w:val="none"/>
                <w:u w:val="none"/>
                <w:vertAlign w:val="baseline"/>
                <w:lang w:val="en-US" w:eastAsia="zh-CN" w:bidi="ar-SA"/>
              </w:rPr>
            </w:pPr>
            <w:r>
              <w:rPr>
                <w:rFonts w:hint="eastAsia" w:ascii="仿宋_GB2312" w:hAnsi="仿宋_GB2312" w:eastAsia="仿宋_GB2312" w:cs="仿宋_GB2312"/>
                <w:color w:val="auto"/>
                <w:sz w:val="24"/>
                <w:szCs w:val="24"/>
                <w:highlight w:val="none"/>
                <w:u w:val="none"/>
                <w:vertAlign w:val="baseline"/>
                <w:lang w:eastAsia="zh-CN"/>
              </w:rPr>
              <w:t>专业企业直接回收利用</w:t>
            </w:r>
          </w:p>
        </w:tc>
      </w:tr>
      <w:tr w14:paraId="4A1C66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49" w:type="dxa"/>
            <w:vMerge w:val="continue"/>
            <w:vAlign w:val="center"/>
          </w:tcPr>
          <w:p w14:paraId="0F8BC96D">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highlight w:val="none"/>
                <w:u w:val="none"/>
                <w:vertAlign w:val="baseline"/>
              </w:rPr>
            </w:pPr>
          </w:p>
        </w:tc>
        <w:tc>
          <w:tcPr>
            <w:tcW w:w="1737" w:type="dxa"/>
            <w:vAlign w:val="center"/>
          </w:tcPr>
          <w:p w14:paraId="42DDE288">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highlight w:val="none"/>
                <w:u w:val="none"/>
                <w:vertAlign w:val="baseline"/>
              </w:rPr>
            </w:pPr>
            <w:r>
              <w:rPr>
                <w:rFonts w:hint="eastAsia" w:ascii="仿宋_GB2312" w:hAnsi="仿宋_GB2312" w:eastAsia="仿宋_GB2312" w:cs="仿宋_GB2312"/>
                <w:color w:val="auto"/>
                <w:sz w:val="24"/>
                <w:szCs w:val="24"/>
                <w:highlight w:val="none"/>
                <w:u w:val="none"/>
                <w:vertAlign w:val="baseline"/>
              </w:rPr>
              <w:t>沥青类</w:t>
            </w:r>
          </w:p>
        </w:tc>
        <w:tc>
          <w:tcPr>
            <w:tcW w:w="3363" w:type="dxa"/>
            <w:vAlign w:val="center"/>
          </w:tcPr>
          <w:p w14:paraId="4C72A9F8">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highlight w:val="none"/>
                <w:u w:val="none"/>
                <w:vertAlign w:val="baseline"/>
              </w:rPr>
            </w:pPr>
            <w:r>
              <w:rPr>
                <w:rFonts w:hint="eastAsia" w:ascii="仿宋_GB2312" w:hAnsi="仿宋_GB2312" w:eastAsia="仿宋_GB2312" w:cs="仿宋_GB2312"/>
                <w:color w:val="auto"/>
                <w:sz w:val="24"/>
                <w:szCs w:val="24"/>
                <w:highlight w:val="none"/>
                <w:u w:val="none"/>
                <w:vertAlign w:val="baseline"/>
              </w:rPr>
              <w:t>沥青路面、沥青屋顶</w:t>
            </w:r>
          </w:p>
        </w:tc>
        <w:tc>
          <w:tcPr>
            <w:tcW w:w="2945" w:type="dxa"/>
            <w:vAlign w:val="center"/>
          </w:tcPr>
          <w:p w14:paraId="4F98D634">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kern w:val="2"/>
                <w:sz w:val="24"/>
                <w:szCs w:val="24"/>
                <w:highlight w:val="none"/>
                <w:u w:val="none"/>
                <w:vertAlign w:val="baseline"/>
                <w:lang w:val="en-US" w:eastAsia="zh-CN" w:bidi="ar-SA"/>
              </w:rPr>
            </w:pPr>
            <w:r>
              <w:rPr>
                <w:rFonts w:hint="eastAsia" w:ascii="仿宋_GB2312" w:hAnsi="仿宋_GB2312" w:eastAsia="仿宋_GB2312" w:cs="仿宋_GB2312"/>
                <w:color w:val="auto"/>
                <w:sz w:val="24"/>
                <w:szCs w:val="24"/>
                <w:highlight w:val="none"/>
                <w:u w:val="none"/>
                <w:vertAlign w:val="baseline"/>
                <w:lang w:eastAsia="zh-CN"/>
              </w:rPr>
              <w:t>专业企业直接回收利用</w:t>
            </w:r>
          </w:p>
        </w:tc>
      </w:tr>
      <w:tr w14:paraId="3C9156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49" w:type="dxa"/>
            <w:vAlign w:val="center"/>
          </w:tcPr>
          <w:p w14:paraId="067DD440">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highlight w:val="none"/>
                <w:u w:val="none"/>
                <w:vertAlign w:val="baseline"/>
              </w:rPr>
            </w:pPr>
            <w:r>
              <w:rPr>
                <w:rFonts w:hint="eastAsia" w:ascii="仿宋_GB2312" w:hAnsi="仿宋_GB2312" w:eastAsia="仿宋_GB2312" w:cs="仿宋_GB2312"/>
                <w:color w:val="auto"/>
                <w:sz w:val="24"/>
                <w:szCs w:val="24"/>
                <w:highlight w:val="none"/>
                <w:u w:val="none"/>
                <w:vertAlign w:val="baseline"/>
              </w:rPr>
              <w:t>其他类</w:t>
            </w:r>
          </w:p>
        </w:tc>
        <w:tc>
          <w:tcPr>
            <w:tcW w:w="1737" w:type="dxa"/>
            <w:vAlign w:val="center"/>
          </w:tcPr>
          <w:p w14:paraId="1F338024">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highlight w:val="none"/>
                <w:u w:val="none"/>
                <w:vertAlign w:val="baseline"/>
              </w:rPr>
            </w:pPr>
            <w:r>
              <w:rPr>
                <w:rFonts w:hint="eastAsia" w:ascii="仿宋_GB2312" w:hAnsi="仿宋_GB2312" w:eastAsia="仿宋_GB2312" w:cs="仿宋_GB2312"/>
                <w:color w:val="auto"/>
                <w:sz w:val="24"/>
                <w:szCs w:val="24"/>
                <w:highlight w:val="none"/>
                <w:u w:val="none"/>
                <w:vertAlign w:val="baseline"/>
              </w:rPr>
              <w:t>混合</w:t>
            </w:r>
          </w:p>
        </w:tc>
        <w:tc>
          <w:tcPr>
            <w:tcW w:w="3363" w:type="dxa"/>
            <w:vAlign w:val="center"/>
          </w:tcPr>
          <w:p w14:paraId="246673C7">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highlight w:val="none"/>
                <w:u w:val="none"/>
                <w:vertAlign w:val="baseline"/>
              </w:rPr>
            </w:pPr>
            <w:r>
              <w:rPr>
                <w:rFonts w:hint="eastAsia" w:ascii="仿宋_GB2312" w:hAnsi="仿宋_GB2312" w:eastAsia="仿宋_GB2312" w:cs="仿宋_GB2312"/>
                <w:color w:val="auto"/>
                <w:sz w:val="24"/>
                <w:szCs w:val="24"/>
                <w:highlight w:val="none"/>
                <w:u w:val="none"/>
                <w:vertAlign w:val="baseline"/>
              </w:rPr>
              <w:t>以上类别以外的拆除垃圾，无法在现场进行分类的无机非金属、金属、有机类垃圾的混合物</w:t>
            </w:r>
          </w:p>
        </w:tc>
        <w:tc>
          <w:tcPr>
            <w:tcW w:w="2945" w:type="dxa"/>
            <w:vAlign w:val="center"/>
          </w:tcPr>
          <w:p w14:paraId="4215CDDB">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kern w:val="2"/>
                <w:sz w:val="24"/>
                <w:szCs w:val="24"/>
                <w:highlight w:val="none"/>
                <w:u w:val="none"/>
                <w:vertAlign w:val="baseline"/>
                <w:lang w:val="en-US" w:eastAsia="zh-CN" w:bidi="ar-SA"/>
              </w:rPr>
            </w:pPr>
            <w:r>
              <w:rPr>
                <w:rFonts w:hint="eastAsia" w:ascii="仿宋_GB2312" w:hAnsi="仿宋_GB2312" w:eastAsia="仿宋_GB2312" w:cs="仿宋_GB2312"/>
                <w:color w:val="auto"/>
                <w:sz w:val="24"/>
                <w:szCs w:val="24"/>
                <w:highlight w:val="none"/>
                <w:u w:val="none"/>
                <w:vertAlign w:val="baseline"/>
                <w:lang w:eastAsia="zh-CN"/>
              </w:rPr>
              <w:t>焚烧或消纳填埋</w:t>
            </w:r>
          </w:p>
        </w:tc>
      </w:tr>
      <w:tr w14:paraId="151F7A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94" w:type="dxa"/>
            <w:gridSpan w:val="4"/>
            <w:vAlign w:val="center"/>
          </w:tcPr>
          <w:p w14:paraId="06A0F97B">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highlight w:val="none"/>
                <w:u w:val="none"/>
                <w:vertAlign w:val="baseline"/>
              </w:rPr>
            </w:pPr>
            <w:r>
              <w:rPr>
                <w:rFonts w:hint="eastAsia" w:ascii="仿宋_GB2312" w:hAnsi="仿宋_GB2312" w:eastAsia="仿宋_GB2312" w:cs="仿宋_GB2312"/>
                <w:color w:val="auto"/>
                <w:sz w:val="24"/>
                <w:szCs w:val="24"/>
                <w:highlight w:val="none"/>
                <w:u w:val="none"/>
                <w:vertAlign w:val="baseline"/>
              </w:rPr>
              <w:t>注:*不包括石膏砌块和加气混凝土砌块</w:t>
            </w:r>
            <w:r>
              <w:rPr>
                <w:rFonts w:hint="eastAsia" w:ascii="仿宋_GB2312" w:hAnsi="仿宋_GB2312" w:eastAsia="仿宋_GB2312" w:cs="仿宋_GB2312"/>
                <w:color w:val="auto"/>
                <w:sz w:val="24"/>
                <w:szCs w:val="24"/>
                <w:highlight w:val="none"/>
                <w:u w:val="none"/>
                <w:vertAlign w:val="baseline"/>
                <w:lang w:eastAsia="zh-CN"/>
              </w:rPr>
              <w:t>。</w:t>
            </w:r>
          </w:p>
        </w:tc>
      </w:tr>
    </w:tbl>
    <w:p w14:paraId="07D31414">
      <w:pPr>
        <w:pageBreakBefore w:val="0"/>
        <w:kinsoku/>
        <w:wordWrap/>
        <w:topLinePunct w:val="0"/>
        <w:bidi w:val="0"/>
        <w:spacing w:beforeAutospacing="0" w:afterAutospacing="0" w:line="560" w:lineRule="exact"/>
        <w:ind w:left="0" w:leftChars="0"/>
        <w:rPr>
          <w:rFonts w:hint="eastAsia" w:ascii="Times New Roman" w:hAnsi="Times New Roman"/>
          <w:b/>
          <w:bCs/>
          <w:color w:val="auto"/>
          <w:u w:val="none"/>
          <w:lang w:val="en-US" w:eastAsia="zh-CN"/>
        </w:rPr>
      </w:pPr>
    </w:p>
    <w:p w14:paraId="46C4B17A">
      <w:pPr>
        <w:pageBreakBefore w:val="0"/>
        <w:kinsoku/>
        <w:wordWrap/>
        <w:overflowPunct/>
        <w:topLinePunct w:val="0"/>
        <w:autoSpaceDE/>
        <w:autoSpaceDN/>
        <w:bidi w:val="0"/>
        <w:adjustRightInd/>
        <w:spacing w:beforeAutospacing="0" w:afterAutospacing="0" w:line="560" w:lineRule="exact"/>
        <w:ind w:left="0" w:leftChars="0"/>
        <w:jc w:val="both"/>
        <w:textAlignment w:val="auto"/>
        <w:rPr>
          <w:rFonts w:hint="eastAsia" w:ascii="仿宋_GB2312" w:hAnsi="仿宋_GB2312" w:eastAsia="仿宋_GB2312" w:cs="仿宋_GB2312"/>
          <w:bCs/>
          <w:color w:val="auto"/>
          <w:sz w:val="32"/>
          <w:szCs w:val="32"/>
          <w:highlight w:val="none"/>
          <w:u w:val="none"/>
          <w:lang w:val="en-US" w:eastAsia="zh-CN"/>
        </w:rPr>
      </w:pPr>
      <w:r>
        <w:rPr>
          <w:rFonts w:hint="default" w:ascii="Times New Roman" w:hAnsi="Times New Roman" w:eastAsia="仿宋_GB2312" w:cs="Times New Roman"/>
          <w:bCs/>
          <w:color w:val="auto"/>
          <w:sz w:val="32"/>
          <w:szCs w:val="32"/>
          <w:highlight w:val="none"/>
          <w:u w:val="none"/>
          <w:lang w:val="en-US" w:eastAsia="zh-CN"/>
        </w:rPr>
        <w:t>4</w:t>
      </w:r>
      <w:r>
        <w:rPr>
          <w:rFonts w:hint="eastAsia" w:ascii="仿宋_GB2312" w:hAnsi="仿宋_GB2312" w:eastAsia="仿宋_GB2312" w:cs="仿宋_GB2312"/>
          <w:bCs/>
          <w:color w:val="auto"/>
          <w:sz w:val="32"/>
          <w:szCs w:val="32"/>
          <w:highlight w:val="none"/>
          <w:u w:val="none"/>
          <w:lang w:val="en-US" w:eastAsia="zh-CN"/>
        </w:rPr>
        <w:t>．装修垃圾</w:t>
      </w:r>
    </w:p>
    <w:p w14:paraId="615AD4A0">
      <w:pPr>
        <w:pageBreakBefore w:val="0"/>
        <w:kinsoku/>
        <w:wordWrap/>
        <w:overflowPunct/>
        <w:topLinePunct w:val="0"/>
        <w:autoSpaceDE/>
        <w:autoSpaceDN/>
        <w:bidi w:val="0"/>
        <w:adjustRightInd/>
        <w:spacing w:beforeAutospacing="0" w:afterAutospacing="0" w:line="560" w:lineRule="exact"/>
        <w:ind w:left="0" w:leftChars="0"/>
        <w:jc w:val="both"/>
        <w:textAlignment w:val="auto"/>
        <w:rPr>
          <w:rFonts w:hint="eastAsia" w:ascii="仿宋_GB2312" w:hAnsi="仿宋_GB2312" w:eastAsia="仿宋_GB2312" w:cs="仿宋_GB2312"/>
          <w:bCs/>
          <w:color w:val="auto"/>
          <w:sz w:val="32"/>
          <w:szCs w:val="32"/>
          <w:highlight w:val="none"/>
          <w:u w:val="none"/>
          <w:lang w:val="en-US" w:eastAsia="zh-CN"/>
        </w:rPr>
      </w:pPr>
      <w:r>
        <w:rPr>
          <w:rFonts w:hint="eastAsia" w:ascii="仿宋_GB2312" w:hAnsi="仿宋_GB2312" w:eastAsia="仿宋_GB2312" w:cs="仿宋_GB2312"/>
          <w:bCs/>
          <w:color w:val="auto"/>
          <w:sz w:val="32"/>
          <w:szCs w:val="32"/>
          <w:highlight w:val="none"/>
          <w:u w:val="none"/>
          <w:lang w:val="en-US" w:eastAsia="zh-CN"/>
        </w:rPr>
        <w:t>直接利用。装修垃圾主要由散落的砂浆和混凝土、剔凿产生的砖石和混凝土碎块、打桩截下的钢筋混凝土桩头、废金属料、竹木材、各种包装材料组成，木材、金属等有价值的物质可进入废品回收体系，其余大部分直接用于渣土桩填料、夯扩桩填料，部分含有一定量的有毒有害成分，可采用无害化填埋处置。</w:t>
      </w:r>
    </w:p>
    <w:p w14:paraId="57A6D134">
      <w:pPr>
        <w:pageBreakBefore w:val="0"/>
        <w:kinsoku/>
        <w:wordWrap/>
        <w:overflowPunct/>
        <w:topLinePunct w:val="0"/>
        <w:autoSpaceDE/>
        <w:autoSpaceDN/>
        <w:bidi w:val="0"/>
        <w:adjustRightInd/>
        <w:spacing w:beforeAutospacing="0" w:afterAutospacing="0" w:line="560" w:lineRule="exact"/>
        <w:ind w:left="0" w:leftChars="0"/>
        <w:jc w:val="both"/>
        <w:textAlignment w:val="auto"/>
        <w:rPr>
          <w:rFonts w:hint="eastAsia" w:ascii="仿宋_GB2312" w:hAnsi="仿宋_GB2312" w:eastAsia="仿宋_GB2312" w:cs="仿宋_GB2312"/>
          <w:bCs/>
          <w:color w:val="auto"/>
          <w:sz w:val="32"/>
          <w:szCs w:val="32"/>
          <w:highlight w:val="none"/>
          <w:u w:val="none"/>
          <w:lang w:val="en-US" w:eastAsia="zh-CN"/>
        </w:rPr>
      </w:pPr>
      <w:r>
        <w:rPr>
          <w:rFonts w:hint="eastAsia" w:ascii="仿宋_GB2312" w:hAnsi="仿宋_GB2312" w:eastAsia="仿宋_GB2312" w:cs="仿宋_GB2312"/>
          <w:bCs/>
          <w:color w:val="auto"/>
          <w:sz w:val="32"/>
          <w:szCs w:val="32"/>
          <w:highlight w:val="none"/>
          <w:u w:val="none"/>
          <w:lang w:val="en-US" w:eastAsia="zh-CN"/>
        </w:rPr>
        <w:t>资源化利用。装修垃圾中的废弃混凝土、砂浆、石材、砖瓦、陶瓷可用于生产再生骨料，发展再生砖、再生混凝土、再生无机混合料综合利用项目；石膏、加气混凝土砌块等轻质材料可用于生产掺合料；废弃金属、木材、玻璃、塑料等根据材质分类回收利用。</w:t>
      </w:r>
    </w:p>
    <w:p w14:paraId="495B22FD">
      <w:pPr>
        <w:pageBreakBefore w:val="0"/>
        <w:kinsoku/>
        <w:wordWrap/>
        <w:overflowPunct/>
        <w:topLinePunct w:val="0"/>
        <w:autoSpaceDE/>
        <w:autoSpaceDN/>
        <w:bidi w:val="0"/>
        <w:adjustRightInd/>
        <w:spacing w:beforeAutospacing="0" w:afterAutospacing="0" w:line="560" w:lineRule="exact"/>
        <w:ind w:left="0" w:leftChars="0"/>
        <w:jc w:val="both"/>
        <w:textAlignment w:val="auto"/>
        <w:rPr>
          <w:rFonts w:hint="eastAsia" w:ascii="仿宋_GB2312" w:hAnsi="仿宋_GB2312" w:eastAsia="仿宋_GB2312" w:cs="仿宋_GB2312"/>
          <w:bCs/>
          <w:color w:val="auto"/>
          <w:sz w:val="32"/>
          <w:szCs w:val="32"/>
          <w:highlight w:val="none"/>
          <w:u w:val="none"/>
          <w:lang w:val="en-US" w:eastAsia="zh-CN"/>
        </w:rPr>
      </w:pPr>
      <w:r>
        <w:rPr>
          <w:rFonts w:hint="eastAsia" w:ascii="仿宋_GB2312" w:hAnsi="仿宋_GB2312" w:eastAsia="仿宋_GB2312" w:cs="仿宋_GB2312"/>
          <w:bCs/>
          <w:color w:val="auto"/>
          <w:sz w:val="32"/>
          <w:szCs w:val="32"/>
          <w:highlight w:val="none"/>
          <w:u w:val="none"/>
          <w:lang w:val="en-US" w:eastAsia="zh-CN"/>
        </w:rPr>
        <w:t>处置规划。装修垃圾成分较复杂，经前端分类收集后，金属、玻璃、竹木等可回收利用，砖瓦、混凝土块等进入建筑垃圾再生利用厂再生利用。无法直接利用和再生利用的部分，则进入建筑垃圾填埋场进行无害化处理。</w:t>
      </w:r>
    </w:p>
    <w:p w14:paraId="07A4A0F1">
      <w:pPr>
        <w:pageBreakBefore w:val="0"/>
        <w:kinsoku/>
        <w:wordWrap/>
        <w:overflowPunct/>
        <w:topLinePunct w:val="0"/>
        <w:autoSpaceDE/>
        <w:autoSpaceDN/>
        <w:bidi w:val="0"/>
        <w:adjustRightInd/>
        <w:spacing w:beforeAutospacing="0" w:afterAutospacing="0" w:line="560" w:lineRule="exact"/>
        <w:ind w:left="0" w:leftChars="0"/>
        <w:jc w:val="center"/>
        <w:textAlignment w:val="auto"/>
        <w:rPr>
          <w:rFonts w:hint="eastAsia" w:ascii="仿宋_GB2312" w:hAnsi="仿宋_GB2312" w:eastAsia="仿宋_GB2312" w:cs="仿宋_GB2312"/>
          <w:bCs/>
          <w:color w:val="auto"/>
          <w:sz w:val="32"/>
          <w:szCs w:val="32"/>
          <w:highlight w:val="none"/>
          <w:u w:val="none"/>
          <w:lang w:val="en-US" w:eastAsia="zh-CN"/>
        </w:rPr>
      </w:pPr>
      <w:r>
        <w:rPr>
          <w:rFonts w:hint="eastAsia" w:ascii="仿宋_GB2312" w:hAnsi="仿宋_GB2312" w:eastAsia="仿宋_GB2312" w:cs="仿宋_GB2312"/>
          <w:bCs/>
          <w:color w:val="auto"/>
          <w:sz w:val="32"/>
          <w:szCs w:val="32"/>
          <w:highlight w:val="none"/>
          <w:u w:val="none"/>
          <w:lang w:val="en-US" w:eastAsia="zh-CN"/>
        </w:rPr>
        <w:t>表：装修垃圾分类及无害化处理方式</w:t>
      </w:r>
    </w:p>
    <w:tbl>
      <w:tblPr>
        <w:tblStyle w:val="17"/>
        <w:tblW w:w="903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91"/>
        <w:gridCol w:w="1715"/>
        <w:gridCol w:w="3497"/>
        <w:gridCol w:w="2631"/>
      </w:tblGrid>
      <w:tr w14:paraId="710F07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1191" w:type="dxa"/>
            <w:vAlign w:val="center"/>
          </w:tcPr>
          <w:p w14:paraId="5709A4F9">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黑体" w:hAnsi="黑体" w:eastAsia="黑体" w:cs="黑体"/>
                <w:color w:val="auto"/>
                <w:sz w:val="24"/>
                <w:szCs w:val="24"/>
                <w:highlight w:val="none"/>
                <w:u w:val="none"/>
                <w:vertAlign w:val="baseline"/>
                <w:lang w:eastAsia="zh-CN"/>
              </w:rPr>
            </w:pPr>
            <w:r>
              <w:rPr>
                <w:rFonts w:hint="eastAsia" w:ascii="黑体" w:hAnsi="黑体" w:eastAsia="黑体" w:cs="黑体"/>
                <w:color w:val="auto"/>
                <w:sz w:val="24"/>
                <w:szCs w:val="24"/>
                <w:highlight w:val="none"/>
                <w:u w:val="none"/>
                <w:vertAlign w:val="baseline"/>
                <w:lang w:eastAsia="zh-CN"/>
              </w:rPr>
              <w:t>一级分类</w:t>
            </w:r>
          </w:p>
        </w:tc>
        <w:tc>
          <w:tcPr>
            <w:tcW w:w="1715" w:type="dxa"/>
            <w:vAlign w:val="center"/>
          </w:tcPr>
          <w:p w14:paraId="78931FE0">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黑体" w:hAnsi="黑体" w:eastAsia="黑体" w:cs="黑体"/>
                <w:color w:val="auto"/>
                <w:sz w:val="24"/>
                <w:szCs w:val="24"/>
                <w:highlight w:val="none"/>
                <w:u w:val="none"/>
                <w:vertAlign w:val="baseline"/>
                <w:lang w:eastAsia="zh-CN"/>
              </w:rPr>
            </w:pPr>
            <w:r>
              <w:rPr>
                <w:rFonts w:hint="eastAsia" w:ascii="黑体" w:hAnsi="黑体" w:eastAsia="黑体" w:cs="黑体"/>
                <w:color w:val="auto"/>
                <w:sz w:val="24"/>
                <w:szCs w:val="24"/>
                <w:highlight w:val="none"/>
                <w:u w:val="none"/>
                <w:vertAlign w:val="baseline"/>
                <w:lang w:eastAsia="zh-CN"/>
              </w:rPr>
              <w:t>二级分类</w:t>
            </w:r>
          </w:p>
        </w:tc>
        <w:tc>
          <w:tcPr>
            <w:tcW w:w="3497" w:type="dxa"/>
            <w:vAlign w:val="center"/>
          </w:tcPr>
          <w:p w14:paraId="679F0ECE">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黑体" w:hAnsi="黑体" w:eastAsia="黑体" w:cs="黑体"/>
                <w:color w:val="auto"/>
                <w:sz w:val="24"/>
                <w:szCs w:val="24"/>
                <w:highlight w:val="none"/>
                <w:u w:val="none"/>
                <w:vertAlign w:val="baseline"/>
                <w:lang w:eastAsia="zh-CN"/>
              </w:rPr>
            </w:pPr>
            <w:r>
              <w:rPr>
                <w:rFonts w:hint="eastAsia" w:ascii="黑体" w:hAnsi="黑体" w:eastAsia="黑体" w:cs="黑体"/>
                <w:color w:val="auto"/>
                <w:sz w:val="24"/>
                <w:szCs w:val="24"/>
                <w:highlight w:val="none"/>
                <w:u w:val="none"/>
                <w:vertAlign w:val="baseline"/>
                <w:lang w:eastAsia="zh-CN"/>
              </w:rPr>
              <w:t>主要来源</w:t>
            </w:r>
          </w:p>
        </w:tc>
        <w:tc>
          <w:tcPr>
            <w:tcW w:w="2631" w:type="dxa"/>
            <w:vAlign w:val="center"/>
          </w:tcPr>
          <w:p w14:paraId="5FE04B46">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黑体" w:hAnsi="黑体" w:eastAsia="黑体" w:cs="黑体"/>
                <w:color w:val="auto"/>
                <w:kern w:val="2"/>
                <w:sz w:val="24"/>
                <w:szCs w:val="24"/>
                <w:highlight w:val="none"/>
                <w:u w:val="none"/>
                <w:vertAlign w:val="baseline"/>
                <w:lang w:val="en-US" w:eastAsia="zh-CN" w:bidi="ar-SA"/>
              </w:rPr>
            </w:pPr>
            <w:r>
              <w:rPr>
                <w:rFonts w:hint="eastAsia" w:ascii="黑体" w:hAnsi="黑体" w:eastAsia="黑体" w:cs="黑体"/>
                <w:color w:val="auto"/>
                <w:sz w:val="24"/>
                <w:szCs w:val="24"/>
                <w:highlight w:val="none"/>
                <w:u w:val="none"/>
                <w:vertAlign w:val="baseline"/>
                <w:lang w:eastAsia="zh-CN"/>
              </w:rPr>
              <w:t>无害化处理方式</w:t>
            </w:r>
          </w:p>
        </w:tc>
      </w:tr>
      <w:tr w14:paraId="195772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91" w:type="dxa"/>
            <w:vMerge w:val="restart"/>
            <w:vAlign w:val="center"/>
          </w:tcPr>
          <w:p w14:paraId="00F1606F">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highlight w:val="none"/>
                <w:u w:val="none"/>
                <w:vertAlign w:val="baseline"/>
                <w:lang w:val="en-US" w:eastAsia="zh-CN"/>
              </w:rPr>
            </w:pPr>
            <w:r>
              <w:rPr>
                <w:rFonts w:hint="eastAsia" w:ascii="仿宋_GB2312" w:hAnsi="仿宋_GB2312" w:eastAsia="仿宋_GB2312" w:cs="仿宋_GB2312"/>
                <w:color w:val="auto"/>
                <w:sz w:val="24"/>
                <w:szCs w:val="24"/>
                <w:highlight w:val="none"/>
                <w:u w:val="none"/>
                <w:vertAlign w:val="baseline"/>
                <w:lang w:val="en-US" w:eastAsia="zh-CN"/>
              </w:rPr>
              <w:t>无机非金属类</w:t>
            </w:r>
          </w:p>
        </w:tc>
        <w:tc>
          <w:tcPr>
            <w:tcW w:w="1715" w:type="dxa"/>
            <w:vAlign w:val="center"/>
          </w:tcPr>
          <w:p w14:paraId="1722AB62">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highlight w:val="none"/>
                <w:u w:val="none"/>
                <w:vertAlign w:val="baseline"/>
                <w:lang w:val="en-US" w:eastAsia="zh-CN"/>
              </w:rPr>
            </w:pPr>
            <w:r>
              <w:rPr>
                <w:rFonts w:hint="eastAsia" w:ascii="仿宋_GB2312" w:hAnsi="仿宋_GB2312" w:eastAsia="仿宋_GB2312" w:cs="仿宋_GB2312"/>
                <w:color w:val="auto"/>
                <w:sz w:val="24"/>
                <w:szCs w:val="24"/>
                <w:highlight w:val="none"/>
                <w:u w:val="none"/>
                <w:vertAlign w:val="baseline"/>
                <w:lang w:val="en-US" w:eastAsia="zh-CN"/>
              </w:rPr>
              <w:t>混凝土块</w:t>
            </w:r>
          </w:p>
        </w:tc>
        <w:tc>
          <w:tcPr>
            <w:tcW w:w="3497" w:type="dxa"/>
            <w:vAlign w:val="center"/>
          </w:tcPr>
          <w:p w14:paraId="69154B29">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highlight w:val="none"/>
                <w:u w:val="none"/>
                <w:vertAlign w:val="baseline"/>
                <w:lang w:val="en-US" w:eastAsia="zh-CN"/>
              </w:rPr>
            </w:pPr>
            <w:r>
              <w:rPr>
                <w:rFonts w:hint="eastAsia" w:ascii="仿宋_GB2312" w:hAnsi="仿宋_GB2312" w:eastAsia="仿宋_GB2312" w:cs="仿宋_GB2312"/>
                <w:color w:val="auto"/>
                <w:sz w:val="24"/>
                <w:szCs w:val="24"/>
                <w:highlight w:val="none"/>
                <w:u w:val="none"/>
                <w:vertAlign w:val="baseline"/>
              </w:rPr>
              <w:t>填充墙构造柱、装饰性构件等</w:t>
            </w:r>
          </w:p>
        </w:tc>
        <w:tc>
          <w:tcPr>
            <w:tcW w:w="2631" w:type="dxa"/>
            <w:vAlign w:val="center"/>
          </w:tcPr>
          <w:p w14:paraId="69FAB8DF">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kern w:val="2"/>
                <w:sz w:val="24"/>
                <w:szCs w:val="24"/>
                <w:highlight w:val="none"/>
                <w:u w:val="none"/>
                <w:vertAlign w:val="baseline"/>
                <w:lang w:val="en-US" w:eastAsia="zh-CN" w:bidi="ar-SA"/>
              </w:rPr>
            </w:pPr>
            <w:r>
              <w:rPr>
                <w:rFonts w:hint="eastAsia" w:ascii="仿宋_GB2312" w:hAnsi="仿宋_GB2312" w:eastAsia="仿宋_GB2312" w:cs="仿宋_GB2312"/>
                <w:color w:val="auto"/>
                <w:sz w:val="24"/>
                <w:szCs w:val="24"/>
                <w:highlight w:val="none"/>
                <w:u w:val="none"/>
                <w:vertAlign w:val="baseline"/>
                <w:lang w:eastAsia="zh-CN"/>
              </w:rPr>
              <w:t>资源化利用</w:t>
            </w:r>
          </w:p>
        </w:tc>
      </w:tr>
      <w:tr w14:paraId="723014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91" w:type="dxa"/>
            <w:vMerge w:val="continue"/>
            <w:vAlign w:val="center"/>
          </w:tcPr>
          <w:p w14:paraId="6AAE6D19">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highlight w:val="none"/>
                <w:u w:val="none"/>
                <w:vertAlign w:val="baseline"/>
                <w:lang w:val="en-US" w:eastAsia="zh-CN"/>
              </w:rPr>
            </w:pPr>
          </w:p>
          <w:p w14:paraId="2D01DF51">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highlight w:val="none"/>
                <w:u w:val="none"/>
                <w:vertAlign w:val="baseline"/>
                <w:lang w:val="en-US" w:eastAsia="zh-CN"/>
              </w:rPr>
            </w:pPr>
          </w:p>
        </w:tc>
        <w:tc>
          <w:tcPr>
            <w:tcW w:w="1715" w:type="dxa"/>
            <w:vAlign w:val="center"/>
          </w:tcPr>
          <w:p w14:paraId="0D3963CA">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highlight w:val="none"/>
                <w:u w:val="none"/>
                <w:vertAlign w:val="baseline"/>
                <w:lang w:val="en-US" w:eastAsia="zh-CN"/>
              </w:rPr>
            </w:pPr>
            <w:r>
              <w:rPr>
                <w:rFonts w:hint="eastAsia" w:ascii="仿宋_GB2312" w:hAnsi="仿宋_GB2312" w:eastAsia="仿宋_GB2312" w:cs="仿宋_GB2312"/>
                <w:color w:val="auto"/>
                <w:sz w:val="24"/>
                <w:szCs w:val="24"/>
                <w:highlight w:val="none"/>
                <w:u w:val="none"/>
                <w:vertAlign w:val="baseline"/>
                <w:lang w:val="en-US" w:eastAsia="zh-CN"/>
              </w:rPr>
              <w:t>石材</w:t>
            </w:r>
          </w:p>
        </w:tc>
        <w:tc>
          <w:tcPr>
            <w:tcW w:w="3497" w:type="dxa"/>
            <w:vAlign w:val="center"/>
          </w:tcPr>
          <w:p w14:paraId="5A5459FB">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highlight w:val="none"/>
                <w:u w:val="none"/>
                <w:vertAlign w:val="baseline"/>
                <w:lang w:val="en-US" w:eastAsia="zh-CN"/>
              </w:rPr>
            </w:pPr>
            <w:r>
              <w:rPr>
                <w:rFonts w:hint="eastAsia" w:ascii="仿宋_GB2312" w:hAnsi="仿宋_GB2312" w:eastAsia="仿宋_GB2312" w:cs="仿宋_GB2312"/>
                <w:color w:val="auto"/>
                <w:sz w:val="24"/>
                <w:szCs w:val="24"/>
                <w:highlight w:val="none"/>
                <w:u w:val="none"/>
                <w:vertAlign w:val="baseline"/>
              </w:rPr>
              <w:t>地面、墙面等</w:t>
            </w:r>
          </w:p>
        </w:tc>
        <w:tc>
          <w:tcPr>
            <w:tcW w:w="2631" w:type="dxa"/>
            <w:vAlign w:val="center"/>
          </w:tcPr>
          <w:p w14:paraId="7661CF0E">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kern w:val="2"/>
                <w:sz w:val="24"/>
                <w:szCs w:val="24"/>
                <w:highlight w:val="none"/>
                <w:u w:val="none"/>
                <w:vertAlign w:val="baseline"/>
                <w:lang w:val="en-US" w:eastAsia="zh-CN" w:bidi="ar-SA"/>
              </w:rPr>
            </w:pPr>
            <w:r>
              <w:rPr>
                <w:rFonts w:hint="eastAsia" w:ascii="仿宋_GB2312" w:hAnsi="仿宋_GB2312" w:eastAsia="仿宋_GB2312" w:cs="仿宋_GB2312"/>
                <w:color w:val="auto"/>
                <w:sz w:val="24"/>
                <w:szCs w:val="24"/>
                <w:highlight w:val="none"/>
                <w:u w:val="none"/>
                <w:vertAlign w:val="baseline"/>
                <w:lang w:eastAsia="zh-CN"/>
              </w:rPr>
              <w:t>资源化利用</w:t>
            </w:r>
          </w:p>
        </w:tc>
      </w:tr>
      <w:tr w14:paraId="2C7E23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91" w:type="dxa"/>
            <w:vMerge w:val="continue"/>
            <w:vAlign w:val="center"/>
          </w:tcPr>
          <w:p w14:paraId="3A1F370C">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highlight w:val="none"/>
                <w:u w:val="none"/>
                <w:vertAlign w:val="baseline"/>
                <w:lang w:val="en-US" w:eastAsia="zh-CN"/>
              </w:rPr>
            </w:pPr>
          </w:p>
        </w:tc>
        <w:tc>
          <w:tcPr>
            <w:tcW w:w="1715" w:type="dxa"/>
            <w:vAlign w:val="center"/>
          </w:tcPr>
          <w:p w14:paraId="46F1803C">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highlight w:val="none"/>
                <w:u w:val="none"/>
                <w:vertAlign w:val="baseline"/>
                <w:lang w:val="en-US" w:eastAsia="zh-CN"/>
              </w:rPr>
            </w:pPr>
            <w:r>
              <w:rPr>
                <w:rFonts w:hint="eastAsia" w:ascii="仿宋_GB2312" w:hAnsi="仿宋_GB2312" w:eastAsia="仿宋_GB2312" w:cs="仿宋_GB2312"/>
                <w:color w:val="auto"/>
                <w:sz w:val="24"/>
                <w:szCs w:val="24"/>
                <w:highlight w:val="none"/>
                <w:u w:val="none"/>
                <w:vertAlign w:val="baseline"/>
                <w:lang w:val="en-US" w:eastAsia="zh-CN"/>
              </w:rPr>
              <w:t>砖、砌块</w:t>
            </w:r>
          </w:p>
        </w:tc>
        <w:tc>
          <w:tcPr>
            <w:tcW w:w="3497" w:type="dxa"/>
            <w:vAlign w:val="center"/>
          </w:tcPr>
          <w:p w14:paraId="0DF86346">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highlight w:val="none"/>
                <w:u w:val="none"/>
                <w:vertAlign w:val="baseline"/>
                <w:lang w:val="en-US" w:eastAsia="zh-CN"/>
              </w:rPr>
            </w:pPr>
            <w:r>
              <w:rPr>
                <w:rFonts w:hint="eastAsia" w:ascii="仿宋_GB2312" w:hAnsi="仿宋_GB2312" w:eastAsia="仿宋_GB2312" w:cs="仿宋_GB2312"/>
                <w:color w:val="auto"/>
                <w:sz w:val="24"/>
                <w:szCs w:val="24"/>
                <w:highlight w:val="none"/>
                <w:u w:val="none"/>
                <w:vertAlign w:val="baseline"/>
              </w:rPr>
              <w:t>墙体、砌体等</w:t>
            </w:r>
          </w:p>
        </w:tc>
        <w:tc>
          <w:tcPr>
            <w:tcW w:w="2631" w:type="dxa"/>
            <w:vAlign w:val="center"/>
          </w:tcPr>
          <w:p w14:paraId="673B4F72">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kern w:val="2"/>
                <w:sz w:val="24"/>
                <w:szCs w:val="24"/>
                <w:highlight w:val="none"/>
                <w:u w:val="none"/>
                <w:vertAlign w:val="baseline"/>
                <w:lang w:val="en-US" w:eastAsia="zh-CN" w:bidi="ar-SA"/>
              </w:rPr>
            </w:pPr>
            <w:r>
              <w:rPr>
                <w:rFonts w:hint="eastAsia" w:ascii="仿宋_GB2312" w:hAnsi="仿宋_GB2312" w:eastAsia="仿宋_GB2312" w:cs="仿宋_GB2312"/>
                <w:color w:val="auto"/>
                <w:sz w:val="24"/>
                <w:szCs w:val="24"/>
                <w:highlight w:val="none"/>
                <w:u w:val="none"/>
                <w:vertAlign w:val="baseline"/>
                <w:lang w:eastAsia="zh-CN"/>
              </w:rPr>
              <w:t>资源化利用</w:t>
            </w:r>
          </w:p>
        </w:tc>
      </w:tr>
      <w:tr w14:paraId="51FE0F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91" w:type="dxa"/>
            <w:vMerge w:val="continue"/>
            <w:vAlign w:val="center"/>
          </w:tcPr>
          <w:p w14:paraId="1A4F648E">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highlight w:val="none"/>
                <w:u w:val="none"/>
                <w:vertAlign w:val="baseline"/>
                <w:lang w:val="en-US" w:eastAsia="zh-CN"/>
              </w:rPr>
            </w:pPr>
          </w:p>
        </w:tc>
        <w:tc>
          <w:tcPr>
            <w:tcW w:w="1715" w:type="dxa"/>
            <w:vAlign w:val="center"/>
          </w:tcPr>
          <w:p w14:paraId="77441D23">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highlight w:val="none"/>
                <w:u w:val="none"/>
                <w:vertAlign w:val="baseline"/>
                <w:lang w:val="en-US" w:eastAsia="zh-CN"/>
              </w:rPr>
            </w:pPr>
            <w:r>
              <w:rPr>
                <w:rFonts w:hint="eastAsia" w:ascii="仿宋_GB2312" w:hAnsi="仿宋_GB2312" w:eastAsia="仿宋_GB2312" w:cs="仿宋_GB2312"/>
                <w:color w:val="auto"/>
                <w:sz w:val="24"/>
                <w:szCs w:val="24"/>
                <w:highlight w:val="none"/>
                <w:u w:val="none"/>
                <w:vertAlign w:val="baseline"/>
                <w:lang w:val="en-US" w:eastAsia="zh-CN"/>
              </w:rPr>
              <w:t>轻型墙体材料</w:t>
            </w:r>
          </w:p>
        </w:tc>
        <w:tc>
          <w:tcPr>
            <w:tcW w:w="3497" w:type="dxa"/>
            <w:vAlign w:val="center"/>
          </w:tcPr>
          <w:p w14:paraId="1B2C95D7">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highlight w:val="none"/>
                <w:u w:val="none"/>
                <w:vertAlign w:val="baseline"/>
              </w:rPr>
            </w:pPr>
            <w:r>
              <w:rPr>
                <w:rFonts w:hint="eastAsia" w:ascii="仿宋_GB2312" w:hAnsi="仿宋_GB2312" w:eastAsia="仿宋_GB2312" w:cs="仿宋_GB2312"/>
                <w:color w:val="auto"/>
                <w:sz w:val="24"/>
                <w:szCs w:val="24"/>
                <w:highlight w:val="none"/>
                <w:u w:val="none"/>
                <w:vertAlign w:val="baseline"/>
              </w:rPr>
              <w:t>墙体</w:t>
            </w:r>
          </w:p>
        </w:tc>
        <w:tc>
          <w:tcPr>
            <w:tcW w:w="2631" w:type="dxa"/>
            <w:vAlign w:val="center"/>
          </w:tcPr>
          <w:p w14:paraId="5A4F3FF5">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kern w:val="2"/>
                <w:sz w:val="24"/>
                <w:szCs w:val="24"/>
                <w:highlight w:val="none"/>
                <w:u w:val="none"/>
                <w:vertAlign w:val="baseline"/>
                <w:lang w:val="en-US" w:eastAsia="zh-CN" w:bidi="ar-SA"/>
              </w:rPr>
            </w:pPr>
            <w:r>
              <w:rPr>
                <w:rFonts w:hint="eastAsia" w:ascii="仿宋_GB2312" w:hAnsi="仿宋_GB2312" w:eastAsia="仿宋_GB2312" w:cs="仿宋_GB2312"/>
                <w:color w:val="auto"/>
                <w:sz w:val="24"/>
                <w:szCs w:val="24"/>
                <w:highlight w:val="none"/>
                <w:u w:val="none"/>
                <w:vertAlign w:val="baseline"/>
                <w:lang w:eastAsia="zh-CN"/>
              </w:rPr>
              <w:t>资源化利用</w:t>
            </w:r>
          </w:p>
        </w:tc>
      </w:tr>
      <w:tr w14:paraId="53AA05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91" w:type="dxa"/>
            <w:vMerge w:val="continue"/>
            <w:vAlign w:val="center"/>
          </w:tcPr>
          <w:p w14:paraId="6DD3AFF8">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highlight w:val="none"/>
                <w:u w:val="none"/>
                <w:vertAlign w:val="baseline"/>
                <w:lang w:val="en-US" w:eastAsia="zh-CN"/>
              </w:rPr>
            </w:pPr>
          </w:p>
        </w:tc>
        <w:tc>
          <w:tcPr>
            <w:tcW w:w="1715" w:type="dxa"/>
            <w:vAlign w:val="center"/>
          </w:tcPr>
          <w:p w14:paraId="4E45FC93">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highlight w:val="none"/>
                <w:u w:val="none"/>
                <w:vertAlign w:val="baseline"/>
                <w:lang w:val="en-US" w:eastAsia="zh-CN"/>
              </w:rPr>
            </w:pPr>
            <w:r>
              <w:rPr>
                <w:rFonts w:hint="eastAsia" w:ascii="仿宋_GB2312" w:hAnsi="仿宋_GB2312" w:eastAsia="仿宋_GB2312" w:cs="仿宋_GB2312"/>
                <w:color w:val="auto"/>
                <w:sz w:val="24"/>
                <w:szCs w:val="24"/>
                <w:highlight w:val="none"/>
                <w:u w:val="none"/>
                <w:vertAlign w:val="baseline"/>
                <w:lang w:val="en-US" w:eastAsia="zh-CN"/>
              </w:rPr>
              <w:t>砂浆</w:t>
            </w:r>
          </w:p>
        </w:tc>
        <w:tc>
          <w:tcPr>
            <w:tcW w:w="3497" w:type="dxa"/>
            <w:vAlign w:val="center"/>
          </w:tcPr>
          <w:p w14:paraId="0E767AD1">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highlight w:val="none"/>
                <w:u w:val="none"/>
                <w:vertAlign w:val="baseline"/>
              </w:rPr>
            </w:pPr>
            <w:r>
              <w:rPr>
                <w:rFonts w:hint="eastAsia" w:ascii="仿宋_GB2312" w:hAnsi="仿宋_GB2312" w:eastAsia="仿宋_GB2312" w:cs="仿宋_GB2312"/>
                <w:color w:val="auto"/>
                <w:sz w:val="24"/>
                <w:szCs w:val="24"/>
                <w:highlight w:val="none"/>
                <w:u w:val="none"/>
                <w:vertAlign w:val="baseline"/>
              </w:rPr>
              <w:t>墙体、砌体</w:t>
            </w:r>
          </w:p>
        </w:tc>
        <w:tc>
          <w:tcPr>
            <w:tcW w:w="2631" w:type="dxa"/>
            <w:vAlign w:val="center"/>
          </w:tcPr>
          <w:p w14:paraId="139AF3C6">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kern w:val="2"/>
                <w:sz w:val="24"/>
                <w:szCs w:val="24"/>
                <w:highlight w:val="none"/>
                <w:u w:val="none"/>
                <w:vertAlign w:val="baseline"/>
                <w:lang w:val="en-US" w:eastAsia="zh-CN" w:bidi="ar-SA"/>
              </w:rPr>
            </w:pPr>
            <w:r>
              <w:rPr>
                <w:rFonts w:hint="eastAsia" w:ascii="仿宋_GB2312" w:hAnsi="仿宋_GB2312" w:eastAsia="仿宋_GB2312" w:cs="仿宋_GB2312"/>
                <w:color w:val="auto"/>
                <w:sz w:val="24"/>
                <w:szCs w:val="24"/>
                <w:highlight w:val="none"/>
                <w:u w:val="none"/>
                <w:vertAlign w:val="baseline"/>
                <w:lang w:eastAsia="zh-CN"/>
              </w:rPr>
              <w:t>资源化利用</w:t>
            </w:r>
          </w:p>
        </w:tc>
      </w:tr>
      <w:tr w14:paraId="69A168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91" w:type="dxa"/>
            <w:vMerge w:val="continue"/>
            <w:vAlign w:val="center"/>
          </w:tcPr>
          <w:p w14:paraId="32D51A17">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highlight w:val="none"/>
                <w:u w:val="none"/>
                <w:vertAlign w:val="baseline"/>
                <w:lang w:val="en-US" w:eastAsia="zh-CN"/>
              </w:rPr>
            </w:pPr>
          </w:p>
        </w:tc>
        <w:tc>
          <w:tcPr>
            <w:tcW w:w="1715" w:type="dxa"/>
            <w:vAlign w:val="center"/>
          </w:tcPr>
          <w:p w14:paraId="26027428">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highlight w:val="none"/>
                <w:u w:val="none"/>
                <w:vertAlign w:val="baseline"/>
                <w:lang w:val="en-US" w:eastAsia="zh-CN"/>
              </w:rPr>
            </w:pPr>
            <w:r>
              <w:rPr>
                <w:rFonts w:hint="eastAsia" w:ascii="仿宋_GB2312" w:hAnsi="仿宋_GB2312" w:eastAsia="仿宋_GB2312" w:cs="仿宋_GB2312"/>
                <w:color w:val="auto"/>
                <w:sz w:val="24"/>
                <w:szCs w:val="24"/>
                <w:highlight w:val="none"/>
                <w:u w:val="none"/>
                <w:vertAlign w:val="baseline"/>
                <w:lang w:val="en-US" w:eastAsia="zh-CN"/>
              </w:rPr>
              <w:t>陶瓷</w:t>
            </w:r>
          </w:p>
        </w:tc>
        <w:tc>
          <w:tcPr>
            <w:tcW w:w="3497" w:type="dxa"/>
            <w:vAlign w:val="center"/>
          </w:tcPr>
          <w:p w14:paraId="0A35CDF7">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highlight w:val="none"/>
                <w:u w:val="none"/>
                <w:vertAlign w:val="baseline"/>
                <w:lang w:val="en-US" w:eastAsia="zh-CN"/>
              </w:rPr>
            </w:pPr>
            <w:r>
              <w:rPr>
                <w:rFonts w:hint="eastAsia" w:ascii="仿宋_GB2312" w:hAnsi="仿宋_GB2312" w:eastAsia="仿宋_GB2312" w:cs="仿宋_GB2312"/>
                <w:color w:val="auto"/>
                <w:sz w:val="24"/>
                <w:szCs w:val="24"/>
                <w:highlight w:val="none"/>
                <w:u w:val="none"/>
                <w:vertAlign w:val="baseline"/>
              </w:rPr>
              <w:t>卫生洁具、地面、墙面等</w:t>
            </w:r>
          </w:p>
        </w:tc>
        <w:tc>
          <w:tcPr>
            <w:tcW w:w="2631" w:type="dxa"/>
            <w:vAlign w:val="center"/>
          </w:tcPr>
          <w:p w14:paraId="351D409F">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kern w:val="2"/>
                <w:sz w:val="24"/>
                <w:szCs w:val="24"/>
                <w:highlight w:val="none"/>
                <w:u w:val="none"/>
                <w:vertAlign w:val="baseline"/>
                <w:lang w:val="en-US" w:eastAsia="zh-CN" w:bidi="ar-SA"/>
              </w:rPr>
            </w:pPr>
            <w:r>
              <w:rPr>
                <w:rFonts w:hint="eastAsia" w:ascii="仿宋_GB2312" w:hAnsi="仿宋_GB2312" w:eastAsia="仿宋_GB2312" w:cs="仿宋_GB2312"/>
                <w:color w:val="auto"/>
                <w:sz w:val="24"/>
                <w:szCs w:val="24"/>
                <w:highlight w:val="none"/>
                <w:u w:val="none"/>
                <w:vertAlign w:val="baseline"/>
                <w:lang w:eastAsia="zh-CN"/>
              </w:rPr>
              <w:t>专业企业直接回收利用</w:t>
            </w:r>
          </w:p>
        </w:tc>
      </w:tr>
      <w:tr w14:paraId="429A2D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91" w:type="dxa"/>
            <w:vMerge w:val="continue"/>
            <w:vAlign w:val="center"/>
          </w:tcPr>
          <w:p w14:paraId="0EB92F59">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highlight w:val="none"/>
                <w:u w:val="none"/>
                <w:vertAlign w:val="baseline"/>
                <w:lang w:val="en-US" w:eastAsia="zh-CN"/>
              </w:rPr>
            </w:pPr>
          </w:p>
        </w:tc>
        <w:tc>
          <w:tcPr>
            <w:tcW w:w="1715" w:type="dxa"/>
            <w:vAlign w:val="center"/>
          </w:tcPr>
          <w:p w14:paraId="1CEDAF2E">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highlight w:val="none"/>
                <w:u w:val="none"/>
                <w:vertAlign w:val="baseline"/>
                <w:lang w:val="en-US" w:eastAsia="zh-CN"/>
              </w:rPr>
            </w:pPr>
            <w:r>
              <w:rPr>
                <w:rFonts w:hint="eastAsia" w:ascii="仿宋_GB2312" w:hAnsi="仿宋_GB2312" w:eastAsia="仿宋_GB2312" w:cs="仿宋_GB2312"/>
                <w:color w:val="auto"/>
                <w:sz w:val="24"/>
                <w:szCs w:val="24"/>
                <w:highlight w:val="none"/>
                <w:u w:val="none"/>
                <w:vertAlign w:val="baseline"/>
                <w:lang w:val="en-US" w:eastAsia="zh-CN"/>
              </w:rPr>
              <w:t>玻璃</w:t>
            </w:r>
          </w:p>
        </w:tc>
        <w:tc>
          <w:tcPr>
            <w:tcW w:w="3497" w:type="dxa"/>
            <w:vAlign w:val="center"/>
          </w:tcPr>
          <w:p w14:paraId="21BC9CE8">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highlight w:val="none"/>
                <w:u w:val="none"/>
                <w:vertAlign w:val="baseline"/>
                <w:lang w:val="en-US" w:eastAsia="zh-CN"/>
              </w:rPr>
            </w:pPr>
            <w:r>
              <w:rPr>
                <w:rFonts w:hint="eastAsia" w:ascii="仿宋_GB2312" w:hAnsi="仿宋_GB2312" w:eastAsia="仿宋_GB2312" w:cs="仿宋_GB2312"/>
                <w:color w:val="auto"/>
                <w:sz w:val="24"/>
                <w:szCs w:val="24"/>
                <w:highlight w:val="none"/>
                <w:u w:val="none"/>
                <w:vertAlign w:val="baseline"/>
              </w:rPr>
              <w:t>门窗、屏风、家具、洁具等</w:t>
            </w:r>
          </w:p>
        </w:tc>
        <w:tc>
          <w:tcPr>
            <w:tcW w:w="2631" w:type="dxa"/>
            <w:vAlign w:val="center"/>
          </w:tcPr>
          <w:p w14:paraId="5C1DDB00">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kern w:val="2"/>
                <w:sz w:val="24"/>
                <w:szCs w:val="24"/>
                <w:highlight w:val="none"/>
                <w:u w:val="none"/>
                <w:vertAlign w:val="baseline"/>
                <w:lang w:val="en-US" w:eastAsia="zh-CN" w:bidi="ar-SA"/>
              </w:rPr>
            </w:pPr>
            <w:r>
              <w:rPr>
                <w:rFonts w:hint="eastAsia" w:ascii="仿宋_GB2312" w:hAnsi="仿宋_GB2312" w:eastAsia="仿宋_GB2312" w:cs="仿宋_GB2312"/>
                <w:color w:val="auto"/>
                <w:sz w:val="24"/>
                <w:szCs w:val="24"/>
                <w:highlight w:val="none"/>
                <w:u w:val="none"/>
                <w:vertAlign w:val="baseline"/>
                <w:lang w:eastAsia="zh-CN"/>
              </w:rPr>
              <w:t>专业企业直接回收利用</w:t>
            </w:r>
          </w:p>
        </w:tc>
      </w:tr>
      <w:tr w14:paraId="52932B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91" w:type="dxa"/>
            <w:vMerge w:val="continue"/>
            <w:vAlign w:val="center"/>
          </w:tcPr>
          <w:p w14:paraId="50737FC7">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highlight w:val="none"/>
                <w:u w:val="none"/>
                <w:vertAlign w:val="baseline"/>
                <w:lang w:eastAsia="zh-CN"/>
              </w:rPr>
            </w:pPr>
          </w:p>
        </w:tc>
        <w:tc>
          <w:tcPr>
            <w:tcW w:w="1715" w:type="dxa"/>
            <w:vAlign w:val="center"/>
          </w:tcPr>
          <w:p w14:paraId="3A23E73B">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highlight w:val="none"/>
                <w:u w:val="none"/>
                <w:vertAlign w:val="baseline"/>
                <w:lang w:val="en-US" w:eastAsia="zh-CN"/>
              </w:rPr>
            </w:pPr>
            <w:r>
              <w:rPr>
                <w:rFonts w:hint="eastAsia" w:ascii="仿宋_GB2312" w:hAnsi="仿宋_GB2312" w:eastAsia="仿宋_GB2312" w:cs="仿宋_GB2312"/>
                <w:color w:val="auto"/>
                <w:sz w:val="24"/>
                <w:szCs w:val="24"/>
                <w:highlight w:val="none"/>
                <w:u w:val="none"/>
                <w:vertAlign w:val="baseline"/>
              </w:rPr>
              <w:t>石膏</w:t>
            </w:r>
          </w:p>
        </w:tc>
        <w:tc>
          <w:tcPr>
            <w:tcW w:w="3497" w:type="dxa"/>
            <w:vAlign w:val="center"/>
          </w:tcPr>
          <w:p w14:paraId="2E512709">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highlight w:val="none"/>
                <w:u w:val="none"/>
                <w:vertAlign w:val="baseline"/>
                <w:lang w:val="en-US" w:eastAsia="zh-CN"/>
              </w:rPr>
            </w:pPr>
            <w:r>
              <w:rPr>
                <w:rFonts w:hint="eastAsia" w:ascii="仿宋_GB2312" w:hAnsi="仿宋_GB2312" w:eastAsia="仿宋_GB2312" w:cs="仿宋_GB2312"/>
                <w:color w:val="auto"/>
                <w:sz w:val="24"/>
                <w:szCs w:val="24"/>
                <w:highlight w:val="none"/>
                <w:u w:val="none"/>
                <w:vertAlign w:val="baseline"/>
              </w:rPr>
              <w:t>吊顶、墙体</w:t>
            </w:r>
          </w:p>
        </w:tc>
        <w:tc>
          <w:tcPr>
            <w:tcW w:w="2631" w:type="dxa"/>
            <w:vAlign w:val="center"/>
          </w:tcPr>
          <w:p w14:paraId="2D1E0973">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kern w:val="2"/>
                <w:sz w:val="24"/>
                <w:szCs w:val="24"/>
                <w:highlight w:val="none"/>
                <w:u w:val="none"/>
                <w:vertAlign w:val="baseline"/>
                <w:lang w:val="en-US" w:eastAsia="zh-CN" w:bidi="ar-SA"/>
              </w:rPr>
            </w:pPr>
            <w:r>
              <w:rPr>
                <w:rFonts w:hint="eastAsia" w:ascii="仿宋_GB2312" w:hAnsi="仿宋_GB2312" w:eastAsia="仿宋_GB2312" w:cs="仿宋_GB2312"/>
                <w:color w:val="auto"/>
                <w:sz w:val="24"/>
                <w:szCs w:val="24"/>
                <w:highlight w:val="none"/>
                <w:u w:val="none"/>
                <w:vertAlign w:val="baseline"/>
                <w:lang w:eastAsia="zh-CN"/>
              </w:rPr>
              <w:t>专业企业直接回收利用</w:t>
            </w:r>
          </w:p>
        </w:tc>
      </w:tr>
      <w:tr w14:paraId="2B762F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91" w:type="dxa"/>
            <w:vMerge w:val="continue"/>
            <w:vAlign w:val="center"/>
          </w:tcPr>
          <w:p w14:paraId="502F440C">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highlight w:val="none"/>
                <w:u w:val="none"/>
                <w:vertAlign w:val="baseline"/>
                <w:lang w:eastAsia="zh-CN"/>
              </w:rPr>
            </w:pPr>
          </w:p>
        </w:tc>
        <w:tc>
          <w:tcPr>
            <w:tcW w:w="1715" w:type="dxa"/>
            <w:vAlign w:val="center"/>
          </w:tcPr>
          <w:p w14:paraId="114CC91B">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highlight w:val="none"/>
                <w:u w:val="none"/>
                <w:vertAlign w:val="baseline"/>
              </w:rPr>
            </w:pPr>
            <w:r>
              <w:rPr>
                <w:rFonts w:hint="eastAsia" w:ascii="仿宋_GB2312" w:hAnsi="仿宋_GB2312" w:eastAsia="仿宋_GB2312" w:cs="仿宋_GB2312"/>
                <w:color w:val="auto"/>
                <w:sz w:val="24"/>
                <w:szCs w:val="24"/>
                <w:highlight w:val="none"/>
                <w:u w:val="none"/>
                <w:vertAlign w:val="baseline"/>
              </w:rPr>
              <w:t>灰砂</w:t>
            </w:r>
          </w:p>
        </w:tc>
        <w:tc>
          <w:tcPr>
            <w:tcW w:w="3497" w:type="dxa"/>
            <w:vAlign w:val="center"/>
          </w:tcPr>
          <w:p w14:paraId="52E1F219">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highlight w:val="none"/>
                <w:u w:val="none"/>
                <w:vertAlign w:val="baseline"/>
              </w:rPr>
            </w:pPr>
            <w:r>
              <w:rPr>
                <w:rFonts w:hint="eastAsia" w:ascii="仿宋_GB2312" w:hAnsi="仿宋_GB2312" w:eastAsia="仿宋_GB2312" w:cs="仿宋_GB2312"/>
                <w:color w:val="auto"/>
                <w:sz w:val="24"/>
                <w:szCs w:val="24"/>
                <w:highlight w:val="none"/>
                <w:u w:val="none"/>
                <w:vertAlign w:val="baseline"/>
              </w:rPr>
              <w:t>沉积灰等</w:t>
            </w:r>
          </w:p>
        </w:tc>
        <w:tc>
          <w:tcPr>
            <w:tcW w:w="2631" w:type="dxa"/>
            <w:vAlign w:val="center"/>
          </w:tcPr>
          <w:p w14:paraId="0F0C6714">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kern w:val="2"/>
                <w:sz w:val="24"/>
                <w:szCs w:val="24"/>
                <w:highlight w:val="none"/>
                <w:u w:val="none"/>
                <w:vertAlign w:val="baseline"/>
                <w:lang w:val="en-US" w:eastAsia="zh-CN" w:bidi="ar-SA"/>
              </w:rPr>
            </w:pPr>
            <w:r>
              <w:rPr>
                <w:rFonts w:hint="eastAsia" w:ascii="仿宋_GB2312" w:hAnsi="仿宋_GB2312" w:eastAsia="仿宋_GB2312" w:cs="仿宋_GB2312"/>
                <w:color w:val="auto"/>
                <w:sz w:val="24"/>
                <w:szCs w:val="24"/>
                <w:highlight w:val="none"/>
                <w:u w:val="none"/>
                <w:vertAlign w:val="baseline"/>
                <w:lang w:eastAsia="zh-CN"/>
              </w:rPr>
              <w:t>资源化利用</w:t>
            </w:r>
          </w:p>
        </w:tc>
      </w:tr>
      <w:tr w14:paraId="465AB6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1" w:type="dxa"/>
            <w:vMerge w:val="restart"/>
            <w:vAlign w:val="center"/>
          </w:tcPr>
          <w:p w14:paraId="02364F9E">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highlight w:val="none"/>
                <w:u w:val="none"/>
                <w:vertAlign w:val="baseline"/>
              </w:rPr>
            </w:pPr>
            <w:r>
              <w:rPr>
                <w:rFonts w:hint="eastAsia" w:ascii="仿宋_GB2312" w:hAnsi="仿宋_GB2312" w:eastAsia="仿宋_GB2312" w:cs="仿宋_GB2312"/>
                <w:color w:val="auto"/>
                <w:sz w:val="24"/>
                <w:szCs w:val="24"/>
                <w:highlight w:val="none"/>
                <w:u w:val="none"/>
                <w:vertAlign w:val="baseline"/>
              </w:rPr>
              <w:t>金属类</w:t>
            </w:r>
          </w:p>
        </w:tc>
        <w:tc>
          <w:tcPr>
            <w:tcW w:w="1715" w:type="dxa"/>
            <w:vAlign w:val="center"/>
          </w:tcPr>
          <w:p w14:paraId="0C68ABDB">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highlight w:val="none"/>
                <w:u w:val="none"/>
                <w:vertAlign w:val="baseline"/>
              </w:rPr>
            </w:pPr>
            <w:r>
              <w:rPr>
                <w:rFonts w:hint="eastAsia" w:ascii="仿宋_GB2312" w:hAnsi="仿宋_GB2312" w:eastAsia="仿宋_GB2312" w:cs="仿宋_GB2312"/>
                <w:color w:val="auto"/>
                <w:sz w:val="24"/>
                <w:szCs w:val="24"/>
                <w:highlight w:val="none"/>
                <w:u w:val="none"/>
                <w:vertAlign w:val="baseline"/>
              </w:rPr>
              <w:t>钢、铁</w:t>
            </w:r>
          </w:p>
        </w:tc>
        <w:tc>
          <w:tcPr>
            <w:tcW w:w="3497" w:type="dxa"/>
            <w:vAlign w:val="center"/>
          </w:tcPr>
          <w:p w14:paraId="459C66A5">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highlight w:val="none"/>
                <w:u w:val="none"/>
                <w:vertAlign w:val="baseline"/>
              </w:rPr>
            </w:pPr>
            <w:r>
              <w:rPr>
                <w:rFonts w:hint="eastAsia" w:ascii="仿宋_GB2312" w:hAnsi="仿宋_GB2312" w:eastAsia="仿宋_GB2312" w:cs="仿宋_GB2312"/>
                <w:color w:val="auto"/>
                <w:sz w:val="24"/>
                <w:szCs w:val="24"/>
                <w:highlight w:val="none"/>
                <w:u w:val="none"/>
                <w:vertAlign w:val="baseline"/>
              </w:rPr>
              <w:t>门窗、护栏、施工工具、装修辅材、边角料</w:t>
            </w:r>
          </w:p>
        </w:tc>
        <w:tc>
          <w:tcPr>
            <w:tcW w:w="2631" w:type="dxa"/>
            <w:vAlign w:val="center"/>
          </w:tcPr>
          <w:p w14:paraId="63C6126B">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kern w:val="2"/>
                <w:sz w:val="24"/>
                <w:szCs w:val="24"/>
                <w:highlight w:val="none"/>
                <w:u w:val="none"/>
                <w:vertAlign w:val="baseline"/>
                <w:lang w:val="en-US" w:eastAsia="zh-CN" w:bidi="ar-SA"/>
              </w:rPr>
            </w:pPr>
            <w:r>
              <w:rPr>
                <w:rFonts w:hint="eastAsia" w:ascii="仿宋_GB2312" w:hAnsi="仿宋_GB2312" w:eastAsia="仿宋_GB2312" w:cs="仿宋_GB2312"/>
                <w:color w:val="auto"/>
                <w:sz w:val="24"/>
                <w:szCs w:val="24"/>
                <w:highlight w:val="none"/>
                <w:u w:val="none"/>
                <w:vertAlign w:val="baseline"/>
                <w:lang w:eastAsia="zh-CN"/>
              </w:rPr>
              <w:t>专业企业直接回收利用</w:t>
            </w:r>
          </w:p>
        </w:tc>
      </w:tr>
      <w:tr w14:paraId="704153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1" w:type="dxa"/>
            <w:vMerge w:val="continue"/>
            <w:vAlign w:val="center"/>
          </w:tcPr>
          <w:p w14:paraId="1559E771">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highlight w:val="none"/>
                <w:u w:val="none"/>
                <w:vertAlign w:val="baseline"/>
              </w:rPr>
            </w:pPr>
          </w:p>
        </w:tc>
        <w:tc>
          <w:tcPr>
            <w:tcW w:w="1715" w:type="dxa"/>
            <w:vAlign w:val="center"/>
          </w:tcPr>
          <w:p w14:paraId="5AF86967">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highlight w:val="none"/>
                <w:u w:val="none"/>
                <w:vertAlign w:val="baseline"/>
                <w:lang w:eastAsia="zh-CN"/>
              </w:rPr>
            </w:pPr>
            <w:r>
              <w:rPr>
                <w:rFonts w:hint="eastAsia" w:ascii="仿宋_GB2312" w:hAnsi="仿宋_GB2312" w:eastAsia="仿宋_GB2312" w:cs="仿宋_GB2312"/>
                <w:color w:val="auto"/>
                <w:sz w:val="24"/>
                <w:szCs w:val="24"/>
                <w:highlight w:val="none"/>
                <w:u w:val="none"/>
                <w:vertAlign w:val="baseline"/>
                <w:lang w:eastAsia="zh-CN"/>
              </w:rPr>
              <w:t>铝</w:t>
            </w:r>
          </w:p>
        </w:tc>
        <w:tc>
          <w:tcPr>
            <w:tcW w:w="3497" w:type="dxa"/>
            <w:vAlign w:val="center"/>
          </w:tcPr>
          <w:p w14:paraId="4139A231">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highlight w:val="none"/>
                <w:u w:val="none"/>
                <w:vertAlign w:val="baseline"/>
              </w:rPr>
            </w:pPr>
            <w:r>
              <w:rPr>
                <w:rFonts w:hint="eastAsia" w:ascii="仿宋_GB2312" w:hAnsi="仿宋_GB2312" w:eastAsia="仿宋_GB2312" w:cs="仿宋_GB2312"/>
                <w:color w:val="auto"/>
                <w:sz w:val="24"/>
                <w:szCs w:val="24"/>
                <w:highlight w:val="none"/>
                <w:u w:val="none"/>
                <w:vertAlign w:val="baseline"/>
              </w:rPr>
              <w:t>五金件、管线</w:t>
            </w:r>
          </w:p>
        </w:tc>
        <w:tc>
          <w:tcPr>
            <w:tcW w:w="2631" w:type="dxa"/>
            <w:vAlign w:val="center"/>
          </w:tcPr>
          <w:p w14:paraId="71FA9BED">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kern w:val="2"/>
                <w:sz w:val="24"/>
                <w:szCs w:val="24"/>
                <w:highlight w:val="none"/>
                <w:u w:val="none"/>
                <w:vertAlign w:val="baseline"/>
                <w:lang w:val="en-US" w:eastAsia="zh-CN" w:bidi="ar-SA"/>
              </w:rPr>
            </w:pPr>
            <w:r>
              <w:rPr>
                <w:rFonts w:hint="eastAsia" w:ascii="仿宋_GB2312" w:hAnsi="仿宋_GB2312" w:eastAsia="仿宋_GB2312" w:cs="仿宋_GB2312"/>
                <w:color w:val="auto"/>
                <w:sz w:val="24"/>
                <w:szCs w:val="24"/>
                <w:highlight w:val="none"/>
                <w:u w:val="none"/>
                <w:vertAlign w:val="baseline"/>
                <w:lang w:eastAsia="zh-CN"/>
              </w:rPr>
              <w:t>专业企业直接回收利用</w:t>
            </w:r>
          </w:p>
        </w:tc>
      </w:tr>
      <w:tr w14:paraId="790C72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1" w:type="dxa"/>
            <w:vMerge w:val="continue"/>
            <w:vAlign w:val="center"/>
          </w:tcPr>
          <w:p w14:paraId="345B0DC1">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highlight w:val="none"/>
                <w:u w:val="none"/>
                <w:vertAlign w:val="baseline"/>
              </w:rPr>
            </w:pPr>
          </w:p>
        </w:tc>
        <w:tc>
          <w:tcPr>
            <w:tcW w:w="1715" w:type="dxa"/>
            <w:vAlign w:val="center"/>
          </w:tcPr>
          <w:p w14:paraId="3A5D7AA2">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highlight w:val="none"/>
                <w:u w:val="none"/>
                <w:vertAlign w:val="baseline"/>
                <w:lang w:val="en-US" w:eastAsia="zh-CN"/>
              </w:rPr>
            </w:pPr>
            <w:r>
              <w:rPr>
                <w:rFonts w:hint="eastAsia" w:ascii="仿宋_GB2312" w:hAnsi="仿宋_GB2312" w:eastAsia="仿宋_GB2312" w:cs="仿宋_GB2312"/>
                <w:color w:val="auto"/>
                <w:sz w:val="24"/>
                <w:szCs w:val="24"/>
                <w:highlight w:val="none"/>
                <w:u w:val="none"/>
                <w:vertAlign w:val="baseline"/>
              </w:rPr>
              <w:t>铜</w:t>
            </w:r>
          </w:p>
        </w:tc>
        <w:tc>
          <w:tcPr>
            <w:tcW w:w="3497" w:type="dxa"/>
            <w:vAlign w:val="center"/>
          </w:tcPr>
          <w:p w14:paraId="1B3457D2">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highlight w:val="none"/>
                <w:u w:val="none"/>
                <w:vertAlign w:val="baseline"/>
                <w:lang w:val="en-US" w:eastAsia="zh-CN"/>
              </w:rPr>
            </w:pPr>
            <w:r>
              <w:rPr>
                <w:rFonts w:hint="eastAsia" w:ascii="仿宋_GB2312" w:hAnsi="仿宋_GB2312" w:eastAsia="仿宋_GB2312" w:cs="仿宋_GB2312"/>
                <w:color w:val="auto"/>
                <w:sz w:val="24"/>
                <w:szCs w:val="24"/>
                <w:highlight w:val="none"/>
                <w:u w:val="none"/>
                <w:vertAlign w:val="baseline"/>
              </w:rPr>
              <w:t>五金件、管线</w:t>
            </w:r>
          </w:p>
        </w:tc>
        <w:tc>
          <w:tcPr>
            <w:tcW w:w="2631" w:type="dxa"/>
            <w:vAlign w:val="center"/>
          </w:tcPr>
          <w:p w14:paraId="3EC46442">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kern w:val="2"/>
                <w:sz w:val="24"/>
                <w:szCs w:val="24"/>
                <w:highlight w:val="none"/>
                <w:u w:val="none"/>
                <w:vertAlign w:val="baseline"/>
                <w:lang w:val="en-US" w:eastAsia="zh-CN" w:bidi="ar-SA"/>
              </w:rPr>
            </w:pPr>
            <w:r>
              <w:rPr>
                <w:rFonts w:hint="eastAsia" w:ascii="仿宋_GB2312" w:hAnsi="仿宋_GB2312" w:eastAsia="仿宋_GB2312" w:cs="仿宋_GB2312"/>
                <w:color w:val="auto"/>
                <w:sz w:val="24"/>
                <w:szCs w:val="24"/>
                <w:highlight w:val="none"/>
                <w:u w:val="none"/>
                <w:vertAlign w:val="baseline"/>
                <w:lang w:eastAsia="zh-CN"/>
              </w:rPr>
              <w:t>专业企业直接回收利用</w:t>
            </w:r>
          </w:p>
        </w:tc>
      </w:tr>
      <w:tr w14:paraId="4610A2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1" w:type="dxa"/>
            <w:vMerge w:val="continue"/>
            <w:vAlign w:val="center"/>
          </w:tcPr>
          <w:p w14:paraId="64425965">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highlight w:val="none"/>
                <w:u w:val="none"/>
                <w:vertAlign w:val="baseline"/>
              </w:rPr>
            </w:pPr>
          </w:p>
        </w:tc>
        <w:tc>
          <w:tcPr>
            <w:tcW w:w="1715" w:type="dxa"/>
            <w:vAlign w:val="center"/>
          </w:tcPr>
          <w:p w14:paraId="4FDAB5E9">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highlight w:val="none"/>
                <w:u w:val="none"/>
                <w:vertAlign w:val="baseline"/>
              </w:rPr>
            </w:pPr>
            <w:r>
              <w:rPr>
                <w:rFonts w:hint="eastAsia" w:ascii="仿宋_GB2312" w:hAnsi="仿宋_GB2312" w:eastAsia="仿宋_GB2312" w:cs="仿宋_GB2312"/>
                <w:color w:val="auto"/>
                <w:sz w:val="24"/>
                <w:szCs w:val="24"/>
                <w:highlight w:val="none"/>
                <w:u w:val="none"/>
                <w:vertAlign w:val="baseline"/>
              </w:rPr>
              <w:t>其他合金</w:t>
            </w:r>
          </w:p>
        </w:tc>
        <w:tc>
          <w:tcPr>
            <w:tcW w:w="3497" w:type="dxa"/>
            <w:vAlign w:val="center"/>
          </w:tcPr>
          <w:p w14:paraId="5739BD2A">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highlight w:val="none"/>
                <w:u w:val="none"/>
                <w:vertAlign w:val="baseline"/>
              </w:rPr>
            </w:pPr>
            <w:r>
              <w:rPr>
                <w:rFonts w:hint="eastAsia" w:ascii="仿宋_GB2312" w:hAnsi="仿宋_GB2312" w:eastAsia="仿宋_GB2312" w:cs="仿宋_GB2312"/>
                <w:color w:val="auto"/>
                <w:sz w:val="24"/>
                <w:szCs w:val="24"/>
                <w:highlight w:val="none"/>
                <w:u w:val="none"/>
                <w:vertAlign w:val="baseline"/>
              </w:rPr>
              <w:t>五金件、装饰材料</w:t>
            </w:r>
          </w:p>
        </w:tc>
        <w:tc>
          <w:tcPr>
            <w:tcW w:w="2631" w:type="dxa"/>
            <w:vAlign w:val="center"/>
          </w:tcPr>
          <w:p w14:paraId="47479E25">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kern w:val="2"/>
                <w:sz w:val="24"/>
                <w:szCs w:val="24"/>
                <w:highlight w:val="none"/>
                <w:u w:val="none"/>
                <w:vertAlign w:val="baseline"/>
                <w:lang w:val="en-US" w:eastAsia="zh-CN" w:bidi="ar-SA"/>
              </w:rPr>
            </w:pPr>
            <w:r>
              <w:rPr>
                <w:rFonts w:hint="eastAsia" w:ascii="仿宋_GB2312" w:hAnsi="仿宋_GB2312" w:eastAsia="仿宋_GB2312" w:cs="仿宋_GB2312"/>
                <w:color w:val="auto"/>
                <w:sz w:val="24"/>
                <w:szCs w:val="24"/>
                <w:highlight w:val="none"/>
                <w:u w:val="none"/>
                <w:vertAlign w:val="baseline"/>
                <w:lang w:eastAsia="zh-CN"/>
              </w:rPr>
              <w:t>专业企业直接回收利用</w:t>
            </w:r>
          </w:p>
        </w:tc>
      </w:tr>
      <w:tr w14:paraId="017531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1" w:type="dxa"/>
            <w:vMerge w:val="restart"/>
            <w:vAlign w:val="center"/>
          </w:tcPr>
          <w:p w14:paraId="04F0F967">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highlight w:val="none"/>
                <w:u w:val="none"/>
                <w:vertAlign w:val="baseline"/>
                <w:lang w:val="en-US" w:eastAsia="zh-CN"/>
              </w:rPr>
            </w:pPr>
            <w:r>
              <w:rPr>
                <w:rFonts w:hint="eastAsia" w:ascii="仿宋_GB2312" w:hAnsi="仿宋_GB2312" w:eastAsia="仿宋_GB2312" w:cs="仿宋_GB2312"/>
                <w:color w:val="auto"/>
                <w:sz w:val="24"/>
                <w:szCs w:val="24"/>
                <w:highlight w:val="none"/>
                <w:u w:val="none"/>
                <w:vertAlign w:val="baseline"/>
              </w:rPr>
              <w:t>其他类</w:t>
            </w:r>
          </w:p>
        </w:tc>
        <w:tc>
          <w:tcPr>
            <w:tcW w:w="1715" w:type="dxa"/>
            <w:vAlign w:val="center"/>
          </w:tcPr>
          <w:p w14:paraId="7362025A">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highlight w:val="none"/>
                <w:u w:val="none"/>
                <w:vertAlign w:val="baseline"/>
                <w:lang w:eastAsia="zh-CN"/>
              </w:rPr>
            </w:pPr>
            <w:r>
              <w:rPr>
                <w:rFonts w:hint="eastAsia" w:ascii="仿宋_GB2312" w:hAnsi="仿宋_GB2312" w:eastAsia="仿宋_GB2312" w:cs="仿宋_GB2312"/>
                <w:color w:val="auto"/>
                <w:sz w:val="24"/>
                <w:szCs w:val="24"/>
                <w:highlight w:val="none"/>
                <w:u w:val="none"/>
                <w:vertAlign w:val="baseline"/>
              </w:rPr>
              <w:t>木材</w:t>
            </w:r>
            <w:r>
              <w:rPr>
                <w:rFonts w:hint="eastAsia" w:ascii="仿宋_GB2312" w:hAnsi="仿宋_GB2312" w:eastAsia="仿宋_GB2312" w:cs="仿宋_GB2312"/>
                <w:color w:val="auto"/>
                <w:sz w:val="24"/>
                <w:szCs w:val="24"/>
                <w:highlight w:val="none"/>
                <w:u w:val="none"/>
                <w:vertAlign w:val="baseline"/>
                <w:lang w:eastAsia="zh-CN"/>
              </w:rPr>
              <w:t>、竹材</w:t>
            </w:r>
          </w:p>
        </w:tc>
        <w:tc>
          <w:tcPr>
            <w:tcW w:w="3497" w:type="dxa"/>
            <w:vAlign w:val="center"/>
          </w:tcPr>
          <w:p w14:paraId="0AE15AA4">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highlight w:val="none"/>
                <w:u w:val="none"/>
                <w:vertAlign w:val="baseline"/>
              </w:rPr>
            </w:pPr>
            <w:r>
              <w:rPr>
                <w:rFonts w:hint="eastAsia" w:ascii="仿宋_GB2312" w:hAnsi="仿宋_GB2312" w:eastAsia="仿宋_GB2312" w:cs="仿宋_GB2312"/>
                <w:color w:val="auto"/>
                <w:sz w:val="24"/>
                <w:szCs w:val="24"/>
                <w:highlight w:val="none"/>
                <w:u w:val="none"/>
                <w:vertAlign w:val="baseline"/>
              </w:rPr>
              <w:t>地板、门窗、辅材边角料</w:t>
            </w:r>
          </w:p>
        </w:tc>
        <w:tc>
          <w:tcPr>
            <w:tcW w:w="2631" w:type="dxa"/>
            <w:vAlign w:val="center"/>
          </w:tcPr>
          <w:p w14:paraId="43EA9A13">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kern w:val="2"/>
                <w:sz w:val="24"/>
                <w:szCs w:val="24"/>
                <w:highlight w:val="none"/>
                <w:u w:val="none"/>
                <w:vertAlign w:val="baseline"/>
                <w:lang w:val="en-US" w:eastAsia="zh-CN" w:bidi="ar-SA"/>
              </w:rPr>
            </w:pPr>
            <w:r>
              <w:rPr>
                <w:rFonts w:hint="eastAsia" w:ascii="仿宋_GB2312" w:hAnsi="仿宋_GB2312" w:eastAsia="仿宋_GB2312" w:cs="仿宋_GB2312"/>
                <w:color w:val="auto"/>
                <w:sz w:val="24"/>
                <w:szCs w:val="24"/>
                <w:highlight w:val="none"/>
                <w:u w:val="none"/>
                <w:vertAlign w:val="baseline"/>
                <w:lang w:eastAsia="zh-CN"/>
              </w:rPr>
              <w:t>专业企业直接回收利用</w:t>
            </w:r>
          </w:p>
        </w:tc>
      </w:tr>
      <w:tr w14:paraId="1F6234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1" w:type="dxa"/>
            <w:vMerge w:val="continue"/>
            <w:vAlign w:val="center"/>
          </w:tcPr>
          <w:p w14:paraId="0DAD8665">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highlight w:val="none"/>
                <w:u w:val="none"/>
                <w:vertAlign w:val="baseline"/>
              </w:rPr>
            </w:pPr>
          </w:p>
        </w:tc>
        <w:tc>
          <w:tcPr>
            <w:tcW w:w="1715" w:type="dxa"/>
            <w:vAlign w:val="center"/>
          </w:tcPr>
          <w:p w14:paraId="7ADDEB86">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highlight w:val="none"/>
                <w:u w:val="none"/>
                <w:vertAlign w:val="baseline"/>
              </w:rPr>
            </w:pPr>
            <w:r>
              <w:rPr>
                <w:rFonts w:hint="eastAsia" w:ascii="仿宋_GB2312" w:hAnsi="仿宋_GB2312" w:eastAsia="仿宋_GB2312" w:cs="仿宋_GB2312"/>
                <w:color w:val="auto"/>
                <w:sz w:val="24"/>
                <w:szCs w:val="24"/>
                <w:highlight w:val="none"/>
                <w:u w:val="none"/>
                <w:vertAlign w:val="baseline"/>
              </w:rPr>
              <w:t>塑料、织物</w:t>
            </w:r>
          </w:p>
        </w:tc>
        <w:tc>
          <w:tcPr>
            <w:tcW w:w="3497" w:type="dxa"/>
            <w:vAlign w:val="center"/>
          </w:tcPr>
          <w:p w14:paraId="02D9D0A4">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highlight w:val="none"/>
                <w:u w:val="none"/>
                <w:vertAlign w:val="baseline"/>
              </w:rPr>
            </w:pPr>
            <w:r>
              <w:rPr>
                <w:rFonts w:hint="eastAsia" w:ascii="仿宋_GB2312" w:hAnsi="仿宋_GB2312" w:eastAsia="仿宋_GB2312" w:cs="仿宋_GB2312"/>
                <w:color w:val="auto"/>
                <w:sz w:val="24"/>
                <w:szCs w:val="24"/>
                <w:highlight w:val="none"/>
                <w:u w:val="none"/>
                <w:vertAlign w:val="baseline"/>
              </w:rPr>
              <w:t>管线材、装修材料包装</w:t>
            </w:r>
          </w:p>
        </w:tc>
        <w:tc>
          <w:tcPr>
            <w:tcW w:w="2631" w:type="dxa"/>
            <w:vAlign w:val="center"/>
          </w:tcPr>
          <w:p w14:paraId="43E20230">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kern w:val="2"/>
                <w:sz w:val="24"/>
                <w:szCs w:val="24"/>
                <w:highlight w:val="none"/>
                <w:u w:val="none"/>
                <w:vertAlign w:val="baseline"/>
                <w:lang w:val="en-US" w:eastAsia="zh-CN" w:bidi="ar-SA"/>
              </w:rPr>
            </w:pPr>
            <w:r>
              <w:rPr>
                <w:rFonts w:hint="eastAsia" w:ascii="仿宋_GB2312" w:hAnsi="仿宋_GB2312" w:eastAsia="仿宋_GB2312" w:cs="仿宋_GB2312"/>
                <w:color w:val="auto"/>
                <w:sz w:val="24"/>
                <w:szCs w:val="24"/>
                <w:highlight w:val="none"/>
                <w:u w:val="none"/>
                <w:vertAlign w:val="baseline"/>
                <w:lang w:eastAsia="zh-CN"/>
              </w:rPr>
              <w:t>专业企业直接回收利用</w:t>
            </w:r>
          </w:p>
        </w:tc>
      </w:tr>
      <w:tr w14:paraId="4B6085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1" w:type="dxa"/>
            <w:vMerge w:val="continue"/>
            <w:vAlign w:val="center"/>
          </w:tcPr>
          <w:p w14:paraId="563BAE79">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highlight w:val="none"/>
                <w:u w:val="none"/>
                <w:vertAlign w:val="baseline"/>
              </w:rPr>
            </w:pPr>
          </w:p>
        </w:tc>
        <w:tc>
          <w:tcPr>
            <w:tcW w:w="1715" w:type="dxa"/>
            <w:vAlign w:val="center"/>
          </w:tcPr>
          <w:p w14:paraId="49F6C396">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highlight w:val="none"/>
                <w:u w:val="none"/>
                <w:vertAlign w:val="baseline"/>
              </w:rPr>
            </w:pPr>
            <w:r>
              <w:rPr>
                <w:rFonts w:hint="eastAsia" w:ascii="仿宋_GB2312" w:hAnsi="仿宋_GB2312" w:eastAsia="仿宋_GB2312" w:cs="仿宋_GB2312"/>
                <w:color w:val="auto"/>
                <w:sz w:val="24"/>
                <w:szCs w:val="24"/>
                <w:highlight w:val="none"/>
                <w:u w:val="none"/>
                <w:vertAlign w:val="baseline"/>
              </w:rPr>
              <w:t>纸板、纸屑</w:t>
            </w:r>
          </w:p>
        </w:tc>
        <w:tc>
          <w:tcPr>
            <w:tcW w:w="3497" w:type="dxa"/>
            <w:vAlign w:val="center"/>
          </w:tcPr>
          <w:p w14:paraId="1E66ECF4">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highlight w:val="none"/>
                <w:u w:val="none"/>
                <w:vertAlign w:val="baseline"/>
              </w:rPr>
            </w:pPr>
            <w:r>
              <w:rPr>
                <w:rFonts w:hint="eastAsia" w:ascii="仿宋_GB2312" w:hAnsi="仿宋_GB2312" w:eastAsia="仿宋_GB2312" w:cs="仿宋_GB2312"/>
                <w:color w:val="auto"/>
                <w:sz w:val="24"/>
                <w:szCs w:val="24"/>
                <w:highlight w:val="none"/>
                <w:u w:val="none"/>
                <w:vertAlign w:val="baseline"/>
              </w:rPr>
              <w:t>装修材料包装</w:t>
            </w:r>
          </w:p>
        </w:tc>
        <w:tc>
          <w:tcPr>
            <w:tcW w:w="2631" w:type="dxa"/>
            <w:vAlign w:val="center"/>
          </w:tcPr>
          <w:p w14:paraId="016A45F3">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kern w:val="2"/>
                <w:sz w:val="24"/>
                <w:szCs w:val="24"/>
                <w:highlight w:val="none"/>
                <w:u w:val="none"/>
                <w:vertAlign w:val="baseline"/>
                <w:lang w:val="en-US" w:eastAsia="zh-CN" w:bidi="ar-SA"/>
              </w:rPr>
            </w:pPr>
            <w:r>
              <w:rPr>
                <w:rFonts w:hint="eastAsia" w:ascii="仿宋_GB2312" w:hAnsi="仿宋_GB2312" w:eastAsia="仿宋_GB2312" w:cs="仿宋_GB2312"/>
                <w:color w:val="auto"/>
                <w:sz w:val="24"/>
                <w:szCs w:val="24"/>
                <w:highlight w:val="none"/>
                <w:u w:val="none"/>
                <w:vertAlign w:val="baseline"/>
                <w:lang w:eastAsia="zh-CN"/>
              </w:rPr>
              <w:t>专业企业直接回收利用</w:t>
            </w:r>
          </w:p>
        </w:tc>
      </w:tr>
      <w:tr w14:paraId="747B33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1" w:type="dxa"/>
            <w:vMerge w:val="continue"/>
            <w:vAlign w:val="center"/>
          </w:tcPr>
          <w:p w14:paraId="0EBAB876">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highlight w:val="none"/>
                <w:u w:val="none"/>
                <w:vertAlign w:val="baseline"/>
              </w:rPr>
            </w:pPr>
          </w:p>
        </w:tc>
        <w:tc>
          <w:tcPr>
            <w:tcW w:w="1715" w:type="dxa"/>
            <w:vAlign w:val="center"/>
          </w:tcPr>
          <w:p w14:paraId="6421E19D">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highlight w:val="none"/>
                <w:u w:val="none"/>
                <w:vertAlign w:val="baseline"/>
              </w:rPr>
            </w:pPr>
            <w:r>
              <w:rPr>
                <w:rFonts w:hint="eastAsia" w:ascii="仿宋_GB2312" w:hAnsi="仿宋_GB2312" w:eastAsia="仿宋_GB2312" w:cs="仿宋_GB2312"/>
                <w:color w:val="auto"/>
                <w:sz w:val="24"/>
                <w:szCs w:val="24"/>
                <w:highlight w:val="none"/>
                <w:u w:val="none"/>
                <w:vertAlign w:val="baseline"/>
              </w:rPr>
              <w:t>混合类</w:t>
            </w:r>
          </w:p>
        </w:tc>
        <w:tc>
          <w:tcPr>
            <w:tcW w:w="3497" w:type="dxa"/>
            <w:vAlign w:val="center"/>
          </w:tcPr>
          <w:p w14:paraId="5AC52313">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sz w:val="24"/>
                <w:szCs w:val="24"/>
                <w:highlight w:val="none"/>
                <w:u w:val="none"/>
                <w:vertAlign w:val="baseline"/>
              </w:rPr>
            </w:pPr>
            <w:r>
              <w:rPr>
                <w:rFonts w:hint="eastAsia" w:ascii="仿宋_GB2312" w:hAnsi="仿宋_GB2312" w:eastAsia="仿宋_GB2312" w:cs="仿宋_GB2312"/>
                <w:color w:val="auto"/>
                <w:sz w:val="24"/>
                <w:szCs w:val="24"/>
                <w:highlight w:val="none"/>
                <w:u w:val="none"/>
                <w:vertAlign w:val="baseline"/>
              </w:rPr>
              <w:t>无法在现场分类的无机非金属、金属、有机类垃圾的混合物</w:t>
            </w:r>
          </w:p>
        </w:tc>
        <w:tc>
          <w:tcPr>
            <w:tcW w:w="2631" w:type="dxa"/>
            <w:vAlign w:val="center"/>
          </w:tcPr>
          <w:p w14:paraId="3203AC66">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textAlignment w:val="auto"/>
              <w:rPr>
                <w:rFonts w:hint="eastAsia" w:ascii="仿宋_GB2312" w:hAnsi="仿宋_GB2312" w:eastAsia="仿宋_GB2312" w:cs="仿宋_GB2312"/>
                <w:color w:val="auto"/>
                <w:kern w:val="2"/>
                <w:sz w:val="24"/>
                <w:szCs w:val="24"/>
                <w:highlight w:val="none"/>
                <w:u w:val="none"/>
                <w:vertAlign w:val="baseline"/>
                <w:lang w:val="en-US" w:eastAsia="zh-CN" w:bidi="ar-SA"/>
              </w:rPr>
            </w:pPr>
            <w:r>
              <w:rPr>
                <w:rFonts w:hint="eastAsia" w:ascii="仿宋_GB2312" w:hAnsi="仿宋_GB2312" w:eastAsia="仿宋_GB2312" w:cs="仿宋_GB2312"/>
                <w:color w:val="auto"/>
                <w:sz w:val="24"/>
                <w:szCs w:val="24"/>
                <w:highlight w:val="none"/>
                <w:u w:val="none"/>
                <w:vertAlign w:val="baseline"/>
                <w:lang w:eastAsia="zh-CN"/>
              </w:rPr>
              <w:t>焚烧或消纳填埋</w:t>
            </w:r>
          </w:p>
        </w:tc>
      </w:tr>
    </w:tbl>
    <w:p w14:paraId="0A825EF5">
      <w:pPr>
        <w:pageBreakBefore w:val="0"/>
        <w:kinsoku/>
        <w:wordWrap/>
        <w:topLinePunct w:val="0"/>
        <w:bidi w:val="0"/>
        <w:spacing w:beforeAutospacing="0" w:afterAutospacing="0" w:line="560" w:lineRule="exact"/>
        <w:ind w:left="0" w:leftChars="0"/>
        <w:rPr>
          <w:rFonts w:hint="eastAsia"/>
          <w:color w:val="auto"/>
          <w:u w:val="none"/>
          <w:lang w:val="en-US" w:eastAsia="zh-CN"/>
        </w:rPr>
      </w:pPr>
    </w:p>
    <w:p w14:paraId="205B423D">
      <w:pPr>
        <w:pStyle w:val="3"/>
        <w:pageBreakBefore w:val="0"/>
        <w:kinsoku/>
        <w:wordWrap/>
        <w:overflowPunct/>
        <w:topLinePunct w:val="0"/>
        <w:autoSpaceDE/>
        <w:autoSpaceDN/>
        <w:bidi w:val="0"/>
        <w:adjustRightInd/>
        <w:spacing w:beforeAutospacing="0" w:afterAutospacing="0" w:line="560" w:lineRule="exact"/>
        <w:ind w:left="0" w:leftChars="0" w:firstLine="640" w:firstLineChars="200"/>
        <w:textAlignment w:val="auto"/>
        <w:rPr>
          <w:rFonts w:hint="default" w:ascii="Times New Roman" w:hAnsi="Times New Roman" w:eastAsia="仿宋_GB2312" w:cs="Times New Roman"/>
          <w:b w:val="0"/>
          <w:bCs w:val="0"/>
          <w:color w:val="auto"/>
          <w:sz w:val="32"/>
          <w:szCs w:val="32"/>
          <w:highlight w:val="none"/>
          <w:u w:val="none"/>
          <w:lang w:val="en-US" w:eastAsia="zh-CN"/>
        </w:rPr>
      </w:pPr>
      <w:bookmarkStart w:id="75" w:name="_Toc11953"/>
      <w:bookmarkStart w:id="76" w:name="_Toc3429"/>
      <w:bookmarkStart w:id="77" w:name="_Toc2591"/>
      <w:r>
        <w:rPr>
          <w:rFonts w:hint="eastAsia" w:ascii="楷体_GB2312" w:hAnsi="楷体_GB2312" w:eastAsia="楷体_GB2312" w:cs="楷体_GB2312"/>
          <w:b w:val="0"/>
          <w:bCs w:val="0"/>
          <w:color w:val="auto"/>
          <w:sz w:val="32"/>
          <w:szCs w:val="32"/>
          <w:highlight w:val="none"/>
          <w:u w:val="none"/>
          <w:lang w:val="en-US" w:eastAsia="zh-CN"/>
        </w:rPr>
        <w:t>（二）处理设施布局规划</w:t>
      </w:r>
      <w:bookmarkEnd w:id="75"/>
      <w:bookmarkEnd w:id="76"/>
      <w:bookmarkEnd w:id="77"/>
    </w:p>
    <w:p w14:paraId="7E308A11">
      <w:pPr>
        <w:pageBreakBefore w:val="0"/>
        <w:kinsoku/>
        <w:wordWrap/>
        <w:overflowPunct/>
        <w:topLinePunct w:val="0"/>
        <w:autoSpaceDE/>
        <w:autoSpaceDN/>
        <w:bidi w:val="0"/>
        <w:adjustRightInd/>
        <w:spacing w:beforeAutospacing="0" w:afterAutospacing="0" w:line="560" w:lineRule="exact"/>
        <w:ind w:left="0" w:leftChars="0" w:firstLine="640" w:firstLineChars="200"/>
        <w:textAlignment w:val="auto"/>
        <w:rPr>
          <w:rFonts w:hint="default" w:ascii="Times New Roman" w:hAnsi="Times New Roman" w:eastAsia="仿宋_GB2312" w:cs="Times New Roman"/>
          <w:b w:val="0"/>
          <w:bCs w:val="0"/>
          <w:color w:val="auto"/>
          <w:sz w:val="32"/>
          <w:szCs w:val="32"/>
          <w:u w:val="none"/>
          <w:lang w:val="en-US" w:eastAsia="zh-CN"/>
        </w:rPr>
      </w:pPr>
      <w:r>
        <w:rPr>
          <w:rFonts w:hint="default" w:ascii="Times New Roman" w:hAnsi="Times New Roman" w:eastAsia="仿宋_GB2312" w:cs="Times New Roman"/>
          <w:b w:val="0"/>
          <w:bCs w:val="0"/>
          <w:color w:val="auto"/>
          <w:sz w:val="32"/>
          <w:szCs w:val="32"/>
          <w:u w:val="none"/>
          <w:lang w:val="en-US" w:eastAsia="zh-CN"/>
        </w:rPr>
        <w:t>1．选址要求</w:t>
      </w:r>
    </w:p>
    <w:p w14:paraId="56591B94">
      <w:pPr>
        <w:pageBreakBefore w:val="0"/>
        <w:kinsoku/>
        <w:wordWrap/>
        <w:overflowPunct/>
        <w:topLinePunct w:val="0"/>
        <w:autoSpaceDE/>
        <w:autoSpaceDN/>
        <w:bidi w:val="0"/>
        <w:adjustRightInd/>
        <w:spacing w:beforeAutospacing="0" w:afterAutospacing="0" w:line="560" w:lineRule="exact"/>
        <w:ind w:left="0" w:leftChars="0"/>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bCs/>
          <w:color w:val="auto"/>
          <w:sz w:val="32"/>
          <w:szCs w:val="32"/>
          <w:highlight w:val="none"/>
          <w:u w:val="none"/>
          <w:lang w:val="en-US" w:eastAsia="zh-CN"/>
        </w:rPr>
        <w:t>融安县</w:t>
      </w:r>
      <w:r>
        <w:rPr>
          <w:rFonts w:hint="default" w:ascii="Times New Roman" w:hAnsi="Times New Roman" w:eastAsia="仿宋_GB2312" w:cs="Times New Roman"/>
          <w:sz w:val="32"/>
          <w:szCs w:val="32"/>
          <w:highlight w:val="none"/>
          <w:lang w:val="en-US" w:eastAsia="zh-CN"/>
        </w:rPr>
        <w:t>建筑垃圾处理设施分为建筑垃圾资源化利用设施、建筑垃圾填埋设施（消纳场）两大类。</w:t>
      </w:r>
    </w:p>
    <w:p w14:paraId="39A01DB6">
      <w:pPr>
        <w:pageBreakBefore w:val="0"/>
        <w:kinsoku/>
        <w:wordWrap/>
        <w:overflowPunct/>
        <w:topLinePunct w:val="0"/>
        <w:autoSpaceDE/>
        <w:autoSpaceDN/>
        <w:bidi w:val="0"/>
        <w:adjustRightInd/>
        <w:spacing w:beforeAutospacing="0" w:afterAutospacing="0" w:line="560" w:lineRule="exact"/>
        <w:ind w:left="0" w:leftChars="0"/>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bCs/>
          <w:color w:val="auto"/>
          <w:sz w:val="32"/>
          <w:szCs w:val="32"/>
          <w:highlight w:val="none"/>
          <w:u w:val="none"/>
          <w:lang w:val="en-US" w:eastAsia="zh-CN"/>
        </w:rPr>
        <w:t>融安县</w:t>
      </w:r>
      <w:r>
        <w:rPr>
          <w:rFonts w:hint="default" w:ascii="Times New Roman" w:hAnsi="Times New Roman" w:eastAsia="仿宋_GB2312" w:cs="Times New Roman"/>
          <w:sz w:val="32"/>
          <w:szCs w:val="32"/>
          <w:highlight w:val="none"/>
          <w:lang w:val="en-US" w:eastAsia="zh-CN"/>
        </w:rPr>
        <w:t>建筑垃圾处理设施选址应符合下列规定：</w:t>
      </w:r>
    </w:p>
    <w:p w14:paraId="0D489E45">
      <w:pPr>
        <w:pageBreakBefore w:val="0"/>
        <w:numPr>
          <w:ilvl w:val="0"/>
          <w:numId w:val="0"/>
        </w:numPr>
        <w:kinsoku/>
        <w:wordWrap/>
        <w:overflowPunct/>
        <w:topLinePunct w:val="0"/>
        <w:autoSpaceDE/>
        <w:autoSpaceDN/>
        <w:bidi w:val="0"/>
        <w:adjustRightInd/>
        <w:spacing w:beforeAutospacing="0" w:afterAutospacing="0"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eastAsia" w:eastAsia="仿宋_GB2312" w:cs="Times New Roman"/>
          <w:sz w:val="32"/>
          <w:szCs w:val="32"/>
          <w:highlight w:val="none"/>
          <w:lang w:val="en-US" w:eastAsia="zh-CN"/>
        </w:rPr>
        <w:t>（</w:t>
      </w:r>
      <w:r>
        <w:rPr>
          <w:rFonts w:hint="default" w:ascii="Times New Roman" w:hAnsi="Times New Roman" w:eastAsia="仿宋_GB2312" w:cs="Times New Roman"/>
          <w:sz w:val="32"/>
          <w:szCs w:val="32"/>
          <w:highlight w:val="none"/>
          <w:lang w:val="en-US" w:eastAsia="zh-CN"/>
        </w:rPr>
        <w:t>1</w:t>
      </w:r>
      <w:r>
        <w:rPr>
          <w:rFonts w:hint="eastAsia" w:eastAsia="仿宋_GB2312" w:cs="Times New Roman"/>
          <w:sz w:val="32"/>
          <w:szCs w:val="32"/>
          <w:highlight w:val="none"/>
          <w:lang w:val="en-US" w:eastAsia="zh-CN"/>
        </w:rPr>
        <w:t>）</w:t>
      </w:r>
      <w:r>
        <w:rPr>
          <w:rFonts w:hint="default" w:ascii="Times New Roman" w:hAnsi="Times New Roman" w:eastAsia="仿宋_GB2312" w:cs="Times New Roman"/>
          <w:sz w:val="32"/>
          <w:szCs w:val="32"/>
          <w:highlight w:val="none"/>
          <w:lang w:val="en-US" w:eastAsia="zh-CN"/>
        </w:rPr>
        <w:t>应符合《融安县县城总体规划</w:t>
      </w:r>
      <w:r>
        <w:rPr>
          <w:rFonts w:hint="eastAsia" w:eastAsia="仿宋_GB2312" w:cs="Times New Roman"/>
          <w:sz w:val="32"/>
          <w:szCs w:val="32"/>
          <w:highlight w:val="none"/>
          <w:lang w:val="en-US" w:eastAsia="zh-CN"/>
        </w:rPr>
        <w:t>（</w:t>
      </w:r>
      <w:r>
        <w:rPr>
          <w:rFonts w:hint="default" w:ascii="Times New Roman" w:hAnsi="Times New Roman" w:eastAsia="仿宋_GB2312" w:cs="Times New Roman"/>
          <w:sz w:val="32"/>
          <w:szCs w:val="32"/>
          <w:highlight w:val="none"/>
          <w:lang w:val="en-US" w:eastAsia="zh-CN"/>
        </w:rPr>
        <w:t>2013</w:t>
      </w:r>
      <w:r>
        <w:rPr>
          <w:rFonts w:hint="eastAsia" w:eastAsia="仿宋_GB2312" w:cs="Times New Roman"/>
          <w:sz w:val="32"/>
          <w:szCs w:val="32"/>
          <w:highlight w:val="none"/>
          <w:lang w:val="en-US" w:eastAsia="zh-CN"/>
        </w:rPr>
        <w:t>—</w:t>
      </w:r>
      <w:r>
        <w:rPr>
          <w:rFonts w:hint="default" w:ascii="Times New Roman" w:hAnsi="Times New Roman" w:eastAsia="仿宋_GB2312" w:cs="Times New Roman"/>
          <w:sz w:val="32"/>
          <w:szCs w:val="32"/>
          <w:highlight w:val="none"/>
          <w:lang w:val="en-US" w:eastAsia="zh-CN"/>
        </w:rPr>
        <w:t>2030</w:t>
      </w:r>
      <w:r>
        <w:rPr>
          <w:rFonts w:hint="eastAsia" w:eastAsia="仿宋_GB2312" w:cs="Times New Roman"/>
          <w:sz w:val="32"/>
          <w:szCs w:val="32"/>
          <w:highlight w:val="none"/>
          <w:lang w:val="en-US" w:eastAsia="zh-CN"/>
        </w:rPr>
        <w:t>）</w:t>
      </w:r>
      <w:r>
        <w:rPr>
          <w:rFonts w:hint="default" w:ascii="Times New Roman" w:hAnsi="Times New Roman" w:eastAsia="仿宋_GB2312" w:cs="Times New Roman"/>
          <w:sz w:val="32"/>
          <w:szCs w:val="32"/>
          <w:highlight w:val="none"/>
          <w:lang w:val="en-US" w:eastAsia="zh-CN"/>
        </w:rPr>
        <w:t>》</w:t>
      </w:r>
      <w:r>
        <w:rPr>
          <w:rFonts w:hint="default" w:ascii="Times New Roman" w:hAnsi="Times New Roman" w:eastAsia="仿宋_GB2312" w:cs="Times New Roman"/>
          <w:sz w:val="32"/>
          <w:szCs w:val="32"/>
          <w:lang w:val="en-US" w:eastAsia="zh-CN"/>
        </w:rPr>
        <w:t>、环境卫生设施专项规划以及国家现行有关标准的规定。</w:t>
      </w:r>
    </w:p>
    <w:p w14:paraId="265E83DA">
      <w:pPr>
        <w:pageBreakBefore w:val="0"/>
        <w:numPr>
          <w:ilvl w:val="0"/>
          <w:numId w:val="0"/>
        </w:numPr>
        <w:kinsoku/>
        <w:wordWrap/>
        <w:overflowPunct/>
        <w:topLinePunct w:val="0"/>
        <w:autoSpaceDE/>
        <w:autoSpaceDN/>
        <w:bidi w:val="0"/>
        <w:adjustRightInd/>
        <w:spacing w:beforeAutospacing="0" w:afterAutospacing="0"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eastAsia"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2</w:t>
      </w:r>
      <w:r>
        <w:rPr>
          <w:rFonts w:hint="eastAsia"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应与</w:t>
      </w:r>
      <w:r>
        <w:rPr>
          <w:rFonts w:hint="eastAsia" w:ascii="Times New Roman" w:hAnsi="Times New Roman" w:eastAsia="仿宋_GB2312" w:cs="Times New Roman"/>
          <w:sz w:val="32"/>
          <w:szCs w:val="32"/>
          <w:lang w:val="en-US" w:eastAsia="zh-CN"/>
        </w:rPr>
        <w:t>融安县</w:t>
      </w:r>
      <w:r>
        <w:rPr>
          <w:rFonts w:hint="default" w:ascii="Times New Roman" w:hAnsi="Times New Roman" w:eastAsia="仿宋_GB2312" w:cs="Times New Roman"/>
          <w:sz w:val="32"/>
          <w:szCs w:val="32"/>
          <w:lang w:val="en-US" w:eastAsia="zh-CN"/>
        </w:rPr>
        <w:t>大气防护、水土资源保护、自然保护及生态平衡要求相一致。</w:t>
      </w:r>
    </w:p>
    <w:p w14:paraId="04EE6566">
      <w:pPr>
        <w:pageBreakBefore w:val="0"/>
        <w:numPr>
          <w:ilvl w:val="0"/>
          <w:numId w:val="0"/>
        </w:numPr>
        <w:kinsoku/>
        <w:wordWrap/>
        <w:overflowPunct/>
        <w:topLinePunct w:val="0"/>
        <w:autoSpaceDE/>
        <w:autoSpaceDN/>
        <w:bidi w:val="0"/>
        <w:adjustRightInd/>
        <w:spacing w:beforeAutospacing="0" w:afterAutospacing="0"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eastAsia"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3</w:t>
      </w:r>
      <w:r>
        <w:rPr>
          <w:rFonts w:hint="eastAsia"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工程地质与水文地质条件应满足设施建设和运行的要求，不应选在地震断层、滑坡、泥石流、沼泽、流沙及采矿陷落区等地区。</w:t>
      </w:r>
    </w:p>
    <w:p w14:paraId="6EE1BA8C">
      <w:pPr>
        <w:pageBreakBefore w:val="0"/>
        <w:numPr>
          <w:ilvl w:val="0"/>
          <w:numId w:val="0"/>
        </w:numPr>
        <w:kinsoku/>
        <w:wordWrap/>
        <w:overflowPunct/>
        <w:topLinePunct w:val="0"/>
        <w:autoSpaceDE/>
        <w:autoSpaceDN/>
        <w:bidi w:val="0"/>
        <w:adjustRightInd/>
        <w:spacing w:beforeAutospacing="0" w:afterAutospacing="0"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（4）应交通方便、运距合理，并应综合建筑垃圾处理厂的</w:t>
      </w:r>
      <w:r>
        <w:rPr>
          <w:rFonts w:hint="default" w:ascii="Times New Roman" w:hAnsi="Times New Roman" w:eastAsia="仿宋_GB2312" w:cs="Times New Roman"/>
          <w:spacing w:val="6"/>
          <w:sz w:val="32"/>
          <w:szCs w:val="32"/>
          <w:lang w:val="en-US" w:eastAsia="zh-CN"/>
        </w:rPr>
        <w:t>服务区域、建筑垃圾收集运输能力、产品出路、预留发展等因素。</w:t>
      </w:r>
    </w:p>
    <w:p w14:paraId="627F1AE2">
      <w:pPr>
        <w:pageBreakBefore w:val="0"/>
        <w:numPr>
          <w:ilvl w:val="0"/>
          <w:numId w:val="0"/>
        </w:numPr>
        <w:kinsoku/>
        <w:wordWrap/>
        <w:overflowPunct/>
        <w:topLinePunct w:val="0"/>
        <w:autoSpaceDE/>
        <w:autoSpaceDN/>
        <w:bidi w:val="0"/>
        <w:adjustRightInd/>
        <w:spacing w:beforeAutospacing="0" w:afterAutospacing="0"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（5）应有良好的电力、给水和排水条件。</w:t>
      </w:r>
    </w:p>
    <w:p w14:paraId="6E938C08">
      <w:pPr>
        <w:pageBreakBefore w:val="0"/>
        <w:numPr>
          <w:ilvl w:val="0"/>
          <w:numId w:val="0"/>
        </w:numPr>
        <w:kinsoku/>
        <w:wordWrap/>
        <w:overflowPunct/>
        <w:topLinePunct w:val="0"/>
        <w:autoSpaceDE/>
        <w:autoSpaceDN/>
        <w:bidi w:val="0"/>
        <w:adjustRightInd/>
        <w:spacing w:beforeAutospacing="0" w:afterAutospacing="0"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（6）应位于地下水贫乏地区、环境保护目标区域的地下水流向</w:t>
      </w:r>
      <w:r>
        <w:rPr>
          <w:rFonts w:hint="eastAsia" w:ascii="Times New Roman" w:hAnsi="Times New Roman" w:eastAsia="仿宋_GB2312" w:cs="Times New Roman"/>
          <w:sz w:val="32"/>
          <w:szCs w:val="32"/>
          <w:lang w:val="en-US" w:eastAsia="zh-CN"/>
        </w:rPr>
        <w:t>的</w:t>
      </w:r>
      <w:r>
        <w:rPr>
          <w:rFonts w:hint="default" w:ascii="Times New Roman" w:hAnsi="Times New Roman" w:eastAsia="仿宋_GB2312" w:cs="Times New Roman"/>
          <w:sz w:val="32"/>
          <w:szCs w:val="32"/>
          <w:lang w:val="en-US" w:eastAsia="zh-CN"/>
        </w:rPr>
        <w:t>下游地区，及夏季主导风向下风向。</w:t>
      </w:r>
    </w:p>
    <w:p w14:paraId="79CBF378">
      <w:pPr>
        <w:pageBreakBefore w:val="0"/>
        <w:numPr>
          <w:ilvl w:val="0"/>
          <w:numId w:val="0"/>
        </w:numPr>
        <w:kinsoku/>
        <w:wordWrap/>
        <w:overflowPunct/>
        <w:topLinePunct w:val="0"/>
        <w:autoSpaceDE/>
        <w:autoSpaceDN/>
        <w:bidi w:val="0"/>
        <w:adjustRightInd/>
        <w:spacing w:beforeAutospacing="0" w:afterAutospacing="0" w:line="560" w:lineRule="exact"/>
        <w:ind w:firstLine="640" w:firstLineChars="200"/>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lang w:val="en-US" w:eastAsia="zh-CN"/>
        </w:rPr>
        <w:t>（7）厂址不应受洪水、潮水或内涝的威胁。当必须建在该类地区时，应有可靠的防洪、排涝措施，其防洪标准应符合现行国家标准《防洪标准》</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GB</w:t>
      </w:r>
      <w:r>
        <w:rPr>
          <w:rFonts w:hint="eastAsia"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5020</w:t>
      </w:r>
      <w:r>
        <w:rPr>
          <w:rFonts w:hint="default" w:ascii="Times New Roman" w:hAnsi="Times New Roman" w:eastAsia="仿宋_GB2312" w:cs="Times New Roman"/>
          <w:sz w:val="32"/>
          <w:szCs w:val="32"/>
          <w:highlight w:val="none"/>
          <w:lang w:val="en-US" w:eastAsia="zh-CN"/>
        </w:rPr>
        <w:t>1</w:t>
      </w:r>
      <w:r>
        <w:rPr>
          <w:rFonts w:hint="eastAsia" w:ascii="Times New Roman" w:hAnsi="Times New Roman" w:eastAsia="仿宋_GB2312" w:cs="Times New Roman"/>
          <w:sz w:val="32"/>
          <w:szCs w:val="32"/>
          <w:highlight w:val="none"/>
          <w:lang w:val="en-US" w:eastAsia="zh-CN"/>
        </w:rPr>
        <w:t>）</w:t>
      </w:r>
      <w:r>
        <w:rPr>
          <w:rFonts w:hint="default" w:ascii="Times New Roman" w:hAnsi="Times New Roman" w:eastAsia="仿宋_GB2312" w:cs="Times New Roman"/>
          <w:sz w:val="32"/>
          <w:szCs w:val="32"/>
          <w:highlight w:val="none"/>
          <w:lang w:val="en-US" w:eastAsia="zh-CN"/>
        </w:rPr>
        <w:t>的有关规定。</w:t>
      </w:r>
    </w:p>
    <w:p w14:paraId="19E0C796">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40" w:lineRule="exact"/>
        <w:ind w:firstLine="640" w:firstLineChars="200"/>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（8）建筑垃圾填埋设施（消纳场）宜优先选用废弃的采矿坑、山谷型场地等。</w:t>
      </w:r>
    </w:p>
    <w:p w14:paraId="1182C085">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40" w:lineRule="exact"/>
        <w:ind w:firstLine="640" w:firstLineChars="200"/>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（9）应按相关规定及环境影响评价满足与铁路、高速</w:t>
      </w:r>
      <w:r>
        <w:rPr>
          <w:rFonts w:hint="eastAsia" w:ascii="Times New Roman" w:hAnsi="Times New Roman" w:eastAsia="仿宋_GB2312" w:cs="Times New Roman"/>
          <w:sz w:val="32"/>
          <w:szCs w:val="32"/>
          <w:highlight w:val="none"/>
          <w:lang w:val="en-US" w:eastAsia="zh-CN"/>
        </w:rPr>
        <w:t>公路</w:t>
      </w:r>
      <w:r>
        <w:rPr>
          <w:rFonts w:hint="default" w:ascii="Times New Roman" w:hAnsi="Times New Roman" w:eastAsia="仿宋_GB2312" w:cs="Times New Roman"/>
          <w:sz w:val="32"/>
          <w:szCs w:val="32"/>
          <w:highlight w:val="none"/>
          <w:lang w:val="en-US" w:eastAsia="zh-CN"/>
        </w:rPr>
        <w:t>、居民区等的安全防护距离要求。</w:t>
      </w:r>
    </w:p>
    <w:p w14:paraId="3FD55779">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40" w:lineRule="exact"/>
        <w:ind w:firstLine="640" w:firstLineChars="200"/>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（10）应根据项目所在地的地形地貌、气候条件、土壤类型等自然条件，最大限度地减少水土流失。</w:t>
      </w:r>
    </w:p>
    <w:p w14:paraId="37BE57E8">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left="0" w:leftChars="0" w:firstLine="640" w:firstLineChars="200"/>
        <w:textAlignment w:val="auto"/>
        <w:rPr>
          <w:rFonts w:hint="default" w:ascii="Times New Roman" w:hAnsi="Times New Roman" w:eastAsia="仿宋_GB2312" w:cs="Times New Roman"/>
          <w:b/>
          <w:bCs/>
          <w:color w:val="auto"/>
          <w:sz w:val="32"/>
          <w:szCs w:val="32"/>
          <w:highlight w:val="none"/>
          <w:u w:val="none"/>
          <w:lang w:val="en-US" w:eastAsia="zh-CN"/>
        </w:rPr>
      </w:pPr>
      <w:r>
        <w:rPr>
          <w:rFonts w:hint="default" w:ascii="Times New Roman" w:hAnsi="Times New Roman" w:eastAsia="仿宋_GB2312" w:cs="Times New Roman"/>
          <w:b w:val="0"/>
          <w:bCs w:val="0"/>
          <w:color w:val="auto"/>
          <w:sz w:val="32"/>
          <w:szCs w:val="32"/>
          <w:highlight w:val="none"/>
          <w:u w:val="none"/>
          <w:lang w:val="en-US" w:eastAsia="zh-CN"/>
        </w:rPr>
        <w:t>2</w:t>
      </w:r>
      <w:r>
        <w:rPr>
          <w:rFonts w:hint="eastAsia" w:ascii="Times New Roman" w:hAnsi="Times New Roman" w:eastAsia="仿宋_GB2312" w:cs="Times New Roman"/>
          <w:b w:val="0"/>
          <w:bCs w:val="0"/>
          <w:color w:val="auto"/>
          <w:sz w:val="32"/>
          <w:szCs w:val="32"/>
          <w:highlight w:val="none"/>
          <w:u w:val="none"/>
          <w:lang w:val="en-US" w:eastAsia="zh-CN"/>
        </w:rPr>
        <w:t>.</w:t>
      </w:r>
      <w:r>
        <w:rPr>
          <w:rFonts w:hint="default" w:ascii="Times New Roman" w:hAnsi="Times New Roman" w:eastAsia="仿宋_GB2312" w:cs="Times New Roman"/>
          <w:b w:val="0"/>
          <w:bCs w:val="0"/>
          <w:color w:val="auto"/>
          <w:sz w:val="32"/>
          <w:szCs w:val="32"/>
          <w:highlight w:val="none"/>
          <w:u w:val="none"/>
          <w:lang w:val="en-US" w:eastAsia="zh-CN"/>
        </w:rPr>
        <w:t>设施布局</w:t>
      </w:r>
    </w:p>
    <w:p w14:paraId="0BF287D7">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left="0" w:leftChars="0"/>
        <w:textAlignment w:val="auto"/>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color w:val="auto"/>
          <w:sz w:val="32"/>
          <w:szCs w:val="32"/>
          <w:highlight w:val="none"/>
          <w:u w:val="none"/>
          <w:lang w:val="en-US" w:eastAsia="zh-CN"/>
        </w:rPr>
        <w:t>根据行政区划空间管理效力原则，</w:t>
      </w:r>
      <w:r>
        <w:rPr>
          <w:rFonts w:hint="default" w:ascii="Times New Roman" w:hAnsi="Times New Roman" w:eastAsia="仿宋_GB2312" w:cs="Times New Roman"/>
          <w:bCs/>
          <w:color w:val="auto"/>
          <w:sz w:val="32"/>
          <w:szCs w:val="32"/>
          <w:highlight w:val="none"/>
          <w:u w:val="none"/>
          <w:lang w:val="en-US" w:eastAsia="zh-CN"/>
        </w:rPr>
        <w:t>融安县</w:t>
      </w:r>
      <w:r>
        <w:rPr>
          <w:rFonts w:hint="default" w:ascii="Times New Roman" w:hAnsi="Times New Roman" w:eastAsia="仿宋_GB2312" w:cs="Times New Roman"/>
          <w:color w:val="auto"/>
          <w:sz w:val="32"/>
          <w:szCs w:val="32"/>
          <w:highlight w:val="none"/>
          <w:u w:val="none"/>
          <w:lang w:val="en-US" w:eastAsia="zh-CN"/>
        </w:rPr>
        <w:t>全域范围内应形成相对完善的建筑垃圾处理设施体系。全县范围内目前没有建筑垃圾处理设施，不能满足</w:t>
      </w:r>
      <w:r>
        <w:rPr>
          <w:rFonts w:hint="default" w:ascii="Times New Roman" w:hAnsi="Times New Roman" w:eastAsia="仿宋_GB2312" w:cs="Times New Roman"/>
          <w:bCs/>
          <w:color w:val="auto"/>
          <w:sz w:val="32"/>
          <w:szCs w:val="32"/>
          <w:highlight w:val="none"/>
          <w:u w:val="none"/>
          <w:lang w:val="en-US" w:eastAsia="zh-CN"/>
        </w:rPr>
        <w:t>融安县</w:t>
      </w:r>
      <w:r>
        <w:rPr>
          <w:rFonts w:hint="default" w:ascii="Times New Roman" w:hAnsi="Times New Roman" w:eastAsia="仿宋_GB2312" w:cs="Times New Roman"/>
          <w:color w:val="auto"/>
          <w:sz w:val="32"/>
          <w:szCs w:val="32"/>
          <w:highlight w:val="none"/>
          <w:u w:val="none"/>
          <w:lang w:val="en-US" w:eastAsia="zh-CN"/>
        </w:rPr>
        <w:t>建筑垃圾消纳处置需求。</w:t>
      </w:r>
    </w:p>
    <w:p w14:paraId="4245CB7C">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left="0" w:leftChars="0"/>
        <w:textAlignment w:val="auto"/>
        <w:rPr>
          <w:rFonts w:hint="default" w:ascii="Times New Roman" w:hAnsi="Times New Roman" w:eastAsia="仿宋_GB2312" w:cs="Times New Roman"/>
          <w:color w:val="auto"/>
          <w:sz w:val="32"/>
          <w:szCs w:val="32"/>
          <w:highlight w:val="none"/>
          <w:u w:val="none"/>
          <w:lang w:val="en-US" w:eastAsia="zh-CN"/>
        </w:rPr>
      </w:pPr>
      <w:r>
        <w:rPr>
          <w:rFonts w:hint="eastAsia" w:ascii="Times New Roman" w:hAnsi="Times New Roman" w:eastAsia="仿宋_GB2312" w:cs="Times New Roman"/>
          <w:color w:val="auto"/>
          <w:sz w:val="32"/>
          <w:szCs w:val="32"/>
          <w:highlight w:val="none"/>
          <w:u w:val="none"/>
          <w:lang w:val="en-US" w:eastAsia="zh-CN"/>
        </w:rPr>
        <w:t>根据</w:t>
      </w:r>
      <w:r>
        <w:rPr>
          <w:rFonts w:hint="eastAsia" w:ascii="仿宋_GB2312" w:hAnsi="仿宋_GB2312" w:eastAsia="仿宋_GB2312" w:cs="仿宋_GB2312"/>
          <w:color w:val="auto"/>
          <w:sz w:val="32"/>
          <w:szCs w:val="32"/>
          <w:highlight w:val="none"/>
          <w:u w:val="none"/>
          <w:lang w:val="en-US" w:eastAsia="zh-CN"/>
        </w:rPr>
        <w:t>“</w:t>
      </w:r>
      <w:r>
        <w:rPr>
          <w:rFonts w:hint="eastAsia" w:ascii="Times New Roman" w:hAnsi="Times New Roman" w:eastAsia="仿宋_GB2312" w:cs="Times New Roman"/>
          <w:color w:val="auto"/>
          <w:sz w:val="32"/>
          <w:szCs w:val="32"/>
          <w:highlight w:val="none"/>
          <w:u w:val="none"/>
          <w:lang w:val="en-US" w:eastAsia="zh-CN"/>
        </w:rPr>
        <w:t>建筑垃圾处理规模预测</w:t>
      </w:r>
      <w:r>
        <w:rPr>
          <w:rFonts w:hint="eastAsia" w:ascii="仿宋_GB2312" w:hAnsi="仿宋_GB2312" w:eastAsia="仿宋_GB2312" w:cs="仿宋_GB2312"/>
          <w:color w:val="auto"/>
          <w:sz w:val="32"/>
          <w:szCs w:val="32"/>
          <w:highlight w:val="none"/>
          <w:u w:val="none"/>
          <w:lang w:val="en-US" w:eastAsia="zh-CN"/>
        </w:rPr>
        <w:t>”</w:t>
      </w:r>
      <w:r>
        <w:rPr>
          <w:rFonts w:hint="default" w:ascii="Times New Roman" w:hAnsi="Times New Roman" w:eastAsia="仿宋_GB2312" w:cs="Times New Roman"/>
          <w:color w:val="auto"/>
          <w:sz w:val="32"/>
          <w:szCs w:val="32"/>
          <w:highlight w:val="none"/>
          <w:u w:val="none"/>
          <w:lang w:val="en-US" w:eastAsia="zh-CN"/>
        </w:rPr>
        <w:t>可知，融安县近期建筑垃圾消纳处置总量为79.9万吨，远期为32.7万吨，规划期内合计建筑垃圾消纳总量为112.6万吨。因此本次规划新增建设一座占地面积280亩的建筑垃圾消纳场。</w:t>
      </w:r>
    </w:p>
    <w:p w14:paraId="28865C27">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left="0" w:leftChars="0"/>
        <w:textAlignment w:val="auto"/>
        <w:rPr>
          <w:rFonts w:hint="default" w:ascii="Times New Roman" w:hAnsi="Times New Roman" w:eastAsia="仿宋_GB2312" w:cs="Times New Roman"/>
          <w:color w:val="auto"/>
          <w:sz w:val="32"/>
          <w:szCs w:val="32"/>
          <w:highlight w:val="none"/>
          <w:u w:val="none"/>
          <w:lang w:val="en-US" w:eastAsia="zh-CN"/>
        </w:rPr>
      </w:pPr>
      <w:r>
        <w:rPr>
          <w:rFonts w:hint="eastAsia" w:ascii="Times New Roman" w:hAnsi="Times New Roman" w:eastAsia="仿宋_GB2312" w:cs="Times New Roman"/>
          <w:color w:val="auto"/>
          <w:sz w:val="32"/>
          <w:szCs w:val="32"/>
          <w:highlight w:val="none"/>
          <w:u w:val="none"/>
          <w:lang w:val="en-US" w:eastAsia="zh-CN"/>
        </w:rPr>
        <w:t>根据</w:t>
      </w:r>
      <w:r>
        <w:rPr>
          <w:rFonts w:hint="eastAsia" w:ascii="仿宋_GB2312" w:hAnsi="仿宋_GB2312" w:eastAsia="仿宋_GB2312" w:cs="仿宋_GB2312"/>
          <w:color w:val="auto"/>
          <w:sz w:val="32"/>
          <w:szCs w:val="32"/>
          <w:highlight w:val="none"/>
          <w:u w:val="none"/>
          <w:lang w:val="en-US" w:eastAsia="zh-CN"/>
        </w:rPr>
        <w:t>“</w:t>
      </w:r>
      <w:r>
        <w:rPr>
          <w:rFonts w:hint="eastAsia" w:ascii="Times New Roman" w:hAnsi="Times New Roman" w:eastAsia="仿宋_GB2312" w:cs="Times New Roman"/>
          <w:color w:val="auto"/>
          <w:sz w:val="32"/>
          <w:szCs w:val="32"/>
          <w:highlight w:val="none"/>
          <w:u w:val="none"/>
          <w:lang w:val="en-US" w:eastAsia="zh-CN"/>
        </w:rPr>
        <w:t>建筑垃圾处理规模预测</w:t>
      </w:r>
      <w:r>
        <w:rPr>
          <w:rFonts w:hint="eastAsia" w:ascii="仿宋_GB2312" w:hAnsi="仿宋_GB2312" w:eastAsia="仿宋_GB2312" w:cs="仿宋_GB2312"/>
          <w:color w:val="auto"/>
          <w:sz w:val="32"/>
          <w:szCs w:val="32"/>
          <w:highlight w:val="none"/>
          <w:u w:val="none"/>
          <w:lang w:val="en-US" w:eastAsia="zh-CN"/>
        </w:rPr>
        <w:t>”</w:t>
      </w:r>
      <w:r>
        <w:rPr>
          <w:rFonts w:hint="default" w:ascii="Times New Roman" w:hAnsi="Times New Roman" w:eastAsia="仿宋_GB2312" w:cs="Times New Roman"/>
          <w:color w:val="auto"/>
          <w:sz w:val="32"/>
          <w:szCs w:val="32"/>
          <w:highlight w:val="none"/>
          <w:u w:val="none"/>
          <w:lang w:val="en-US" w:eastAsia="zh-CN"/>
        </w:rPr>
        <w:t>可知，融安县近期建筑垃圾资源化利用总量为93.6万吨，远期为65.4万吨，规划期内合计建筑垃圾消纳总量为159万吨，约15万吨/年。规划拟新建一座占地面积30亩的建筑垃圾资源化利用处理厂。</w:t>
      </w:r>
    </w:p>
    <w:p w14:paraId="4F4ED00D">
      <w:pPr>
        <w:keepNext w:val="0"/>
        <w:keepLines w:val="0"/>
        <w:pageBreakBefore w:val="0"/>
        <w:widowControl w:val="0"/>
        <w:kinsoku/>
        <w:wordWrap/>
        <w:overflowPunct/>
        <w:topLinePunct w:val="0"/>
        <w:autoSpaceDE/>
        <w:autoSpaceDN/>
        <w:bidi w:val="0"/>
        <w:adjustRightInd/>
        <w:snapToGrid/>
        <w:spacing w:before="224" w:beforeLines="70" w:beforeAutospacing="0" w:afterAutospacing="0" w:line="560" w:lineRule="exact"/>
        <w:ind w:left="0" w:leftChars="0" w:firstLine="0" w:firstLineChars="0"/>
        <w:jc w:val="center"/>
        <w:textAlignment w:val="auto"/>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color w:val="auto"/>
          <w:sz w:val="32"/>
          <w:szCs w:val="32"/>
          <w:highlight w:val="none"/>
          <w:u w:val="none"/>
          <w:lang w:val="en-US" w:eastAsia="zh-CN"/>
        </w:rPr>
        <w:t>表</w:t>
      </w:r>
      <w:r>
        <w:rPr>
          <w:rFonts w:hint="eastAsia" w:eastAsia="仿宋_GB2312" w:cs="Times New Roman"/>
          <w:color w:val="auto"/>
          <w:sz w:val="32"/>
          <w:szCs w:val="32"/>
          <w:highlight w:val="none"/>
          <w:u w:val="none"/>
          <w:lang w:val="en-US" w:eastAsia="zh-CN"/>
        </w:rPr>
        <w:t>：</w:t>
      </w:r>
      <w:r>
        <w:rPr>
          <w:rFonts w:hint="default" w:ascii="Times New Roman" w:hAnsi="Times New Roman" w:eastAsia="仿宋_GB2312" w:cs="Times New Roman"/>
          <w:color w:val="auto"/>
          <w:sz w:val="32"/>
          <w:szCs w:val="32"/>
          <w:highlight w:val="none"/>
          <w:u w:val="none"/>
          <w:lang w:val="en-US" w:eastAsia="zh-CN"/>
        </w:rPr>
        <w:t>融安县建筑垃圾处理设施规划表</w:t>
      </w:r>
    </w:p>
    <w:tbl>
      <w:tblPr>
        <w:tblStyle w:val="16"/>
        <w:tblW w:w="8348" w:type="dxa"/>
        <w:jc w:val="center"/>
        <w:tblLayout w:type="fixed"/>
        <w:tblCellMar>
          <w:top w:w="0" w:type="dxa"/>
          <w:left w:w="0" w:type="dxa"/>
          <w:bottom w:w="0" w:type="dxa"/>
          <w:right w:w="0" w:type="dxa"/>
        </w:tblCellMar>
      </w:tblPr>
      <w:tblGrid>
        <w:gridCol w:w="2742"/>
        <w:gridCol w:w="1284"/>
        <w:gridCol w:w="877"/>
        <w:gridCol w:w="1208"/>
        <w:gridCol w:w="2237"/>
      </w:tblGrid>
      <w:tr w14:paraId="3556168B">
        <w:tblPrEx>
          <w:tblCellMar>
            <w:top w:w="0" w:type="dxa"/>
            <w:left w:w="0" w:type="dxa"/>
            <w:bottom w:w="0" w:type="dxa"/>
            <w:right w:w="0" w:type="dxa"/>
          </w:tblCellMar>
        </w:tblPrEx>
        <w:trPr>
          <w:trHeight w:val="543" w:hRule="atLeast"/>
          <w:tblHeader/>
          <w:jc w:val="center"/>
        </w:trPr>
        <w:tc>
          <w:tcPr>
            <w:tcW w:w="2742" w:type="dxa"/>
            <w:tcBorders>
              <w:top w:val="single" w:color="000000" w:sz="4" w:space="0"/>
              <w:left w:val="single" w:color="000000" w:sz="4" w:space="0"/>
              <w:bottom w:val="single" w:color="000000" w:sz="4" w:space="0"/>
              <w:right w:val="single" w:color="000000" w:sz="4" w:space="0"/>
            </w:tcBorders>
            <w:vAlign w:val="center"/>
          </w:tcPr>
          <w:p w14:paraId="6F088997">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黑体" w:hAnsi="黑体" w:eastAsia="黑体" w:cs="黑体"/>
                <w:color w:val="auto"/>
                <w:sz w:val="24"/>
                <w:szCs w:val="24"/>
                <w:highlight w:val="none"/>
                <w:u w:val="none"/>
                <w:vertAlign w:val="baseline"/>
                <w:lang w:val="en-US" w:eastAsia="zh-CN"/>
              </w:rPr>
            </w:pPr>
            <w:r>
              <w:rPr>
                <w:rFonts w:hint="eastAsia" w:ascii="黑体" w:hAnsi="黑体" w:eastAsia="黑体" w:cs="黑体"/>
                <w:color w:val="auto"/>
                <w:sz w:val="24"/>
                <w:szCs w:val="24"/>
                <w:highlight w:val="none"/>
                <w:u w:val="none"/>
                <w:vertAlign w:val="baseline"/>
                <w:lang w:val="en-US" w:eastAsia="zh-CN"/>
              </w:rPr>
              <w:t>项目名称</w:t>
            </w:r>
          </w:p>
        </w:tc>
        <w:tc>
          <w:tcPr>
            <w:tcW w:w="1284" w:type="dxa"/>
            <w:tcBorders>
              <w:top w:val="single" w:color="000000" w:sz="4" w:space="0"/>
              <w:left w:val="single" w:color="000000" w:sz="4" w:space="0"/>
              <w:bottom w:val="single" w:color="000000" w:sz="4" w:space="0"/>
              <w:right w:val="single" w:color="000000" w:sz="4" w:space="0"/>
            </w:tcBorders>
            <w:vAlign w:val="center"/>
          </w:tcPr>
          <w:p w14:paraId="7FE2B148">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黑体" w:hAnsi="黑体" w:eastAsia="黑体" w:cs="黑体"/>
                <w:color w:val="auto"/>
                <w:sz w:val="24"/>
                <w:szCs w:val="24"/>
                <w:highlight w:val="none"/>
                <w:u w:val="none"/>
                <w:vertAlign w:val="baseline"/>
                <w:lang w:val="en-US" w:eastAsia="zh-CN"/>
              </w:rPr>
            </w:pPr>
            <w:r>
              <w:rPr>
                <w:rFonts w:hint="eastAsia" w:ascii="黑体" w:hAnsi="黑体" w:eastAsia="黑体" w:cs="黑体"/>
                <w:color w:val="auto"/>
                <w:sz w:val="24"/>
                <w:szCs w:val="24"/>
                <w:highlight w:val="none"/>
                <w:u w:val="none"/>
                <w:vertAlign w:val="baseline"/>
                <w:lang w:val="en-US" w:eastAsia="zh-CN"/>
              </w:rPr>
              <w:t>处理能力</w:t>
            </w:r>
          </w:p>
        </w:tc>
        <w:tc>
          <w:tcPr>
            <w:tcW w:w="877" w:type="dxa"/>
            <w:tcBorders>
              <w:top w:val="single" w:color="000000" w:sz="4" w:space="0"/>
              <w:left w:val="single" w:color="000000" w:sz="4" w:space="0"/>
              <w:bottom w:val="single" w:color="000000" w:sz="4" w:space="0"/>
              <w:right w:val="single" w:color="000000" w:sz="4" w:space="0"/>
            </w:tcBorders>
            <w:vAlign w:val="center"/>
          </w:tcPr>
          <w:p w14:paraId="3D75AD9A">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黑体" w:hAnsi="黑体" w:eastAsia="黑体" w:cs="黑体"/>
                <w:color w:val="auto"/>
                <w:sz w:val="24"/>
                <w:szCs w:val="24"/>
                <w:highlight w:val="none"/>
                <w:u w:val="none"/>
                <w:vertAlign w:val="baseline"/>
                <w:lang w:val="en-US" w:eastAsia="zh-CN"/>
              </w:rPr>
            </w:pPr>
            <w:r>
              <w:rPr>
                <w:rFonts w:hint="eastAsia" w:ascii="黑体" w:hAnsi="黑体" w:eastAsia="黑体" w:cs="黑体"/>
                <w:color w:val="auto"/>
                <w:sz w:val="24"/>
                <w:szCs w:val="24"/>
                <w:highlight w:val="none"/>
                <w:u w:val="none"/>
                <w:vertAlign w:val="baseline"/>
                <w:lang w:val="en-US" w:eastAsia="zh-CN"/>
              </w:rPr>
              <w:t>占地</w:t>
            </w:r>
          </w:p>
        </w:tc>
        <w:tc>
          <w:tcPr>
            <w:tcW w:w="1208" w:type="dxa"/>
            <w:tcBorders>
              <w:top w:val="single" w:color="000000" w:sz="4" w:space="0"/>
              <w:left w:val="single" w:color="000000" w:sz="4" w:space="0"/>
              <w:bottom w:val="single" w:color="000000" w:sz="4" w:space="0"/>
              <w:right w:val="single" w:color="000000" w:sz="4" w:space="0"/>
            </w:tcBorders>
            <w:vAlign w:val="center"/>
          </w:tcPr>
          <w:p w14:paraId="1CA08E55">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黑体" w:hAnsi="黑体" w:eastAsia="黑体" w:cs="黑体"/>
                <w:color w:val="auto"/>
                <w:sz w:val="24"/>
                <w:szCs w:val="24"/>
                <w:highlight w:val="none"/>
                <w:u w:val="none"/>
                <w:vertAlign w:val="baseline"/>
                <w:lang w:val="en-US" w:eastAsia="zh-CN"/>
              </w:rPr>
            </w:pPr>
            <w:r>
              <w:rPr>
                <w:rFonts w:hint="eastAsia" w:ascii="黑体" w:hAnsi="黑体" w:eastAsia="黑体" w:cs="黑体"/>
                <w:color w:val="auto"/>
                <w:sz w:val="24"/>
                <w:szCs w:val="24"/>
                <w:highlight w:val="none"/>
                <w:u w:val="none"/>
                <w:vertAlign w:val="baseline"/>
                <w:lang w:val="en-US" w:eastAsia="zh-CN"/>
              </w:rPr>
              <w:t>地址</w:t>
            </w:r>
          </w:p>
        </w:tc>
        <w:tc>
          <w:tcPr>
            <w:tcW w:w="2237" w:type="dxa"/>
            <w:tcBorders>
              <w:top w:val="single" w:color="000000" w:sz="4" w:space="0"/>
              <w:left w:val="single" w:color="000000" w:sz="4" w:space="0"/>
              <w:bottom w:val="single" w:color="000000" w:sz="4" w:space="0"/>
              <w:right w:val="single" w:color="000000" w:sz="4" w:space="0"/>
            </w:tcBorders>
            <w:vAlign w:val="center"/>
          </w:tcPr>
          <w:p w14:paraId="16EE2BB9">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黑体" w:hAnsi="黑体" w:eastAsia="黑体" w:cs="黑体"/>
                <w:color w:val="auto"/>
                <w:sz w:val="24"/>
                <w:szCs w:val="24"/>
                <w:highlight w:val="none"/>
                <w:u w:val="none"/>
                <w:vertAlign w:val="baseline"/>
                <w:lang w:val="en-US" w:eastAsia="zh-CN"/>
              </w:rPr>
            </w:pPr>
            <w:r>
              <w:rPr>
                <w:rFonts w:hint="eastAsia" w:ascii="黑体" w:hAnsi="黑体" w:eastAsia="黑体" w:cs="黑体"/>
                <w:color w:val="auto"/>
                <w:sz w:val="24"/>
                <w:szCs w:val="24"/>
                <w:highlight w:val="none"/>
                <w:u w:val="none"/>
                <w:vertAlign w:val="baseline"/>
                <w:lang w:val="en-US" w:eastAsia="zh-CN"/>
              </w:rPr>
              <w:t>项目总投资</w:t>
            </w:r>
          </w:p>
          <w:p w14:paraId="471E8435">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黑体" w:hAnsi="黑体" w:eastAsia="黑体" w:cs="黑体"/>
                <w:color w:val="auto"/>
                <w:sz w:val="24"/>
                <w:szCs w:val="24"/>
                <w:highlight w:val="none"/>
                <w:u w:val="none"/>
                <w:vertAlign w:val="baseline"/>
                <w:lang w:val="en-US" w:eastAsia="zh-CN"/>
              </w:rPr>
            </w:pPr>
            <w:r>
              <w:rPr>
                <w:rFonts w:hint="eastAsia" w:ascii="黑体" w:hAnsi="黑体" w:eastAsia="黑体" w:cs="黑体"/>
                <w:color w:val="auto"/>
                <w:sz w:val="24"/>
                <w:szCs w:val="24"/>
                <w:highlight w:val="none"/>
                <w:u w:val="none"/>
                <w:vertAlign w:val="baseline"/>
                <w:lang w:val="en-US" w:eastAsia="zh-CN"/>
              </w:rPr>
              <w:t>（万元）</w:t>
            </w:r>
          </w:p>
        </w:tc>
      </w:tr>
      <w:tr w14:paraId="639C32DA">
        <w:tblPrEx>
          <w:tblCellMar>
            <w:top w:w="0" w:type="dxa"/>
            <w:left w:w="0" w:type="dxa"/>
            <w:bottom w:w="0" w:type="dxa"/>
            <w:right w:w="0" w:type="dxa"/>
          </w:tblCellMar>
        </w:tblPrEx>
        <w:trPr>
          <w:cantSplit/>
          <w:trHeight w:val="383" w:hRule="atLeast"/>
          <w:jc w:val="center"/>
        </w:trPr>
        <w:tc>
          <w:tcPr>
            <w:tcW w:w="2742" w:type="dxa"/>
            <w:tcBorders>
              <w:top w:val="single" w:color="000000" w:sz="4" w:space="0"/>
              <w:left w:val="single" w:color="000000" w:sz="4" w:space="0"/>
              <w:bottom w:val="single" w:color="000000" w:sz="4" w:space="0"/>
              <w:right w:val="single" w:color="000000" w:sz="4" w:space="0"/>
            </w:tcBorders>
            <w:vAlign w:val="center"/>
          </w:tcPr>
          <w:p w14:paraId="046EEA76">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仿宋_GB2312" w:cs="Times New Roman"/>
                <w:color w:val="auto"/>
                <w:sz w:val="24"/>
                <w:szCs w:val="24"/>
                <w:highlight w:val="none"/>
                <w:u w:val="none"/>
                <w:vertAlign w:val="baseline"/>
                <w:lang w:val="en-US" w:eastAsia="zh-CN"/>
              </w:rPr>
            </w:pPr>
            <w:r>
              <w:rPr>
                <w:rFonts w:hint="default" w:ascii="Times New Roman" w:hAnsi="Times New Roman" w:eastAsia="仿宋_GB2312" w:cs="Times New Roman"/>
                <w:color w:val="auto"/>
                <w:sz w:val="24"/>
                <w:szCs w:val="24"/>
                <w:highlight w:val="none"/>
                <w:u w:val="none"/>
                <w:vertAlign w:val="baseline"/>
                <w:lang w:val="en-US" w:eastAsia="zh-CN"/>
              </w:rPr>
              <w:t>融安县建筑垃圾消纳场</w:t>
            </w:r>
          </w:p>
        </w:tc>
        <w:tc>
          <w:tcPr>
            <w:tcW w:w="1284" w:type="dxa"/>
            <w:tcBorders>
              <w:top w:val="single" w:color="000000" w:sz="4" w:space="0"/>
              <w:left w:val="single" w:color="000000" w:sz="4" w:space="0"/>
              <w:bottom w:val="single" w:color="000000" w:sz="4" w:space="0"/>
              <w:right w:val="single" w:color="000000" w:sz="4" w:space="0"/>
            </w:tcBorders>
            <w:vAlign w:val="center"/>
          </w:tcPr>
          <w:p w14:paraId="51659573">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仿宋_GB2312" w:cs="Times New Roman"/>
                <w:color w:val="auto"/>
                <w:sz w:val="24"/>
                <w:szCs w:val="24"/>
                <w:highlight w:val="none"/>
                <w:u w:val="none"/>
                <w:vertAlign w:val="baseline"/>
                <w:lang w:val="en-US" w:eastAsia="zh-CN"/>
              </w:rPr>
            </w:pPr>
            <w:r>
              <w:rPr>
                <w:rFonts w:hint="default" w:ascii="Times New Roman" w:hAnsi="Times New Roman" w:eastAsia="仿宋_GB2312" w:cs="Times New Roman"/>
                <w:color w:val="auto"/>
                <w:sz w:val="24"/>
                <w:szCs w:val="24"/>
                <w:highlight w:val="none"/>
                <w:u w:val="none"/>
                <w:vertAlign w:val="baseline"/>
                <w:lang w:val="en-US" w:eastAsia="zh-CN"/>
              </w:rPr>
              <w:t>150万吨</w:t>
            </w:r>
          </w:p>
        </w:tc>
        <w:tc>
          <w:tcPr>
            <w:tcW w:w="877" w:type="dxa"/>
            <w:tcBorders>
              <w:top w:val="single" w:color="000000" w:sz="4" w:space="0"/>
              <w:left w:val="single" w:color="000000" w:sz="4" w:space="0"/>
              <w:bottom w:val="single" w:color="000000" w:sz="4" w:space="0"/>
              <w:right w:val="single" w:color="000000" w:sz="4" w:space="0"/>
            </w:tcBorders>
            <w:vAlign w:val="center"/>
          </w:tcPr>
          <w:p w14:paraId="78F1878F">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仿宋_GB2312" w:cs="Times New Roman"/>
                <w:color w:val="auto"/>
                <w:sz w:val="24"/>
                <w:szCs w:val="24"/>
                <w:highlight w:val="none"/>
                <w:u w:val="none"/>
                <w:vertAlign w:val="baseline"/>
                <w:lang w:val="en-US" w:eastAsia="zh-CN"/>
              </w:rPr>
            </w:pPr>
            <w:r>
              <w:rPr>
                <w:rFonts w:hint="default" w:ascii="Times New Roman" w:hAnsi="Times New Roman" w:eastAsia="仿宋_GB2312" w:cs="Times New Roman"/>
                <w:color w:val="auto"/>
                <w:sz w:val="24"/>
                <w:szCs w:val="24"/>
                <w:highlight w:val="none"/>
                <w:u w:val="none"/>
                <w:vertAlign w:val="baseline"/>
                <w:lang w:val="en-US" w:eastAsia="zh-CN"/>
              </w:rPr>
              <w:t>280亩</w:t>
            </w:r>
          </w:p>
        </w:tc>
        <w:tc>
          <w:tcPr>
            <w:tcW w:w="1208" w:type="dxa"/>
            <w:tcBorders>
              <w:top w:val="single" w:color="000000" w:sz="4" w:space="0"/>
              <w:left w:val="single" w:color="000000" w:sz="4" w:space="0"/>
              <w:bottom w:val="single" w:color="000000" w:sz="4" w:space="0"/>
              <w:right w:val="single" w:color="000000" w:sz="4" w:space="0"/>
            </w:tcBorders>
            <w:vAlign w:val="center"/>
          </w:tcPr>
          <w:p w14:paraId="27865FA8">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仿宋_GB2312" w:cs="Times New Roman"/>
                <w:color w:val="auto"/>
                <w:sz w:val="24"/>
                <w:szCs w:val="24"/>
                <w:highlight w:val="none"/>
                <w:u w:val="none"/>
                <w:vertAlign w:val="baseline"/>
                <w:lang w:val="en-US" w:eastAsia="zh-CN"/>
              </w:rPr>
            </w:pPr>
            <w:r>
              <w:rPr>
                <w:rFonts w:hint="default" w:ascii="Times New Roman" w:hAnsi="Times New Roman" w:eastAsia="仿宋_GB2312" w:cs="Times New Roman"/>
                <w:color w:val="auto"/>
                <w:sz w:val="24"/>
                <w:szCs w:val="24"/>
                <w:highlight w:val="none"/>
                <w:u w:val="none"/>
                <w:vertAlign w:val="baseline"/>
                <w:lang w:val="en-US" w:eastAsia="zh-CN"/>
              </w:rPr>
              <w:t>长安镇</w:t>
            </w:r>
          </w:p>
          <w:p w14:paraId="04941615">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仿宋_GB2312" w:cs="Times New Roman"/>
                <w:color w:val="auto"/>
                <w:sz w:val="24"/>
                <w:szCs w:val="24"/>
                <w:highlight w:val="none"/>
                <w:u w:val="none"/>
                <w:vertAlign w:val="baseline"/>
                <w:lang w:val="en-US" w:eastAsia="zh-CN"/>
              </w:rPr>
            </w:pPr>
            <w:r>
              <w:rPr>
                <w:rFonts w:hint="default" w:ascii="Times New Roman" w:hAnsi="Times New Roman" w:eastAsia="仿宋_GB2312" w:cs="Times New Roman"/>
                <w:color w:val="auto"/>
                <w:sz w:val="24"/>
                <w:szCs w:val="24"/>
                <w:highlight w:val="none"/>
                <w:u w:val="none"/>
                <w:vertAlign w:val="baseline"/>
                <w:lang w:val="en-US" w:eastAsia="zh-CN"/>
              </w:rPr>
              <w:t>中岭坳</w:t>
            </w:r>
          </w:p>
        </w:tc>
        <w:tc>
          <w:tcPr>
            <w:tcW w:w="2237" w:type="dxa"/>
            <w:tcBorders>
              <w:top w:val="single" w:color="000000" w:sz="4" w:space="0"/>
              <w:left w:val="single" w:color="000000" w:sz="4" w:space="0"/>
              <w:bottom w:val="single" w:color="000000" w:sz="4" w:space="0"/>
              <w:right w:val="single" w:color="000000" w:sz="4" w:space="0"/>
            </w:tcBorders>
            <w:vAlign w:val="center"/>
          </w:tcPr>
          <w:p w14:paraId="5ED4ECFE">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仿宋_GB2312" w:cs="Times New Roman"/>
                <w:color w:val="auto"/>
                <w:sz w:val="24"/>
                <w:szCs w:val="24"/>
                <w:highlight w:val="none"/>
                <w:u w:val="none"/>
                <w:vertAlign w:val="baseline"/>
                <w:lang w:val="en-US" w:eastAsia="zh-CN"/>
              </w:rPr>
            </w:pPr>
            <w:r>
              <w:rPr>
                <w:rFonts w:hint="default" w:ascii="Times New Roman" w:hAnsi="Times New Roman" w:eastAsia="仿宋_GB2312" w:cs="Times New Roman"/>
                <w:color w:val="auto"/>
                <w:sz w:val="24"/>
                <w:szCs w:val="24"/>
                <w:highlight w:val="none"/>
                <w:u w:val="none"/>
                <w:vertAlign w:val="baseline"/>
                <w:lang w:val="en-US" w:eastAsia="zh-CN"/>
              </w:rPr>
              <w:t>2700</w:t>
            </w:r>
          </w:p>
        </w:tc>
      </w:tr>
      <w:tr w14:paraId="08E04F8B">
        <w:tblPrEx>
          <w:tblCellMar>
            <w:top w:w="0" w:type="dxa"/>
            <w:left w:w="0" w:type="dxa"/>
            <w:bottom w:w="0" w:type="dxa"/>
            <w:right w:w="0" w:type="dxa"/>
          </w:tblCellMar>
        </w:tblPrEx>
        <w:trPr>
          <w:cantSplit/>
          <w:trHeight w:val="666" w:hRule="atLeast"/>
          <w:jc w:val="center"/>
        </w:trPr>
        <w:tc>
          <w:tcPr>
            <w:tcW w:w="2742" w:type="dxa"/>
            <w:tcBorders>
              <w:top w:val="single" w:color="000000" w:sz="4" w:space="0"/>
              <w:left w:val="single" w:color="000000" w:sz="4" w:space="0"/>
              <w:bottom w:val="single" w:color="000000" w:sz="4" w:space="0"/>
              <w:right w:val="single" w:color="000000" w:sz="4" w:space="0"/>
            </w:tcBorders>
            <w:vAlign w:val="center"/>
          </w:tcPr>
          <w:p w14:paraId="59A0CC93">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仿宋_GB2312" w:cs="Times New Roman"/>
                <w:color w:val="auto"/>
                <w:sz w:val="24"/>
                <w:szCs w:val="24"/>
                <w:highlight w:val="none"/>
                <w:u w:val="none"/>
                <w:vertAlign w:val="baseline"/>
                <w:lang w:val="en-US" w:eastAsia="zh-CN"/>
              </w:rPr>
            </w:pPr>
            <w:r>
              <w:rPr>
                <w:rFonts w:hint="default" w:ascii="Times New Roman" w:hAnsi="Times New Roman" w:eastAsia="仿宋_GB2312" w:cs="Times New Roman"/>
                <w:color w:val="auto"/>
                <w:sz w:val="24"/>
                <w:szCs w:val="24"/>
                <w:highlight w:val="none"/>
                <w:u w:val="none"/>
                <w:vertAlign w:val="baseline"/>
                <w:lang w:val="en-US" w:eastAsia="zh-CN"/>
              </w:rPr>
              <w:t>融安县建筑垃圾资源化</w:t>
            </w:r>
          </w:p>
          <w:p w14:paraId="5FDC8E7E">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仿宋_GB2312" w:cs="Times New Roman"/>
                <w:color w:val="auto"/>
                <w:sz w:val="24"/>
                <w:szCs w:val="24"/>
                <w:highlight w:val="none"/>
                <w:u w:val="none"/>
                <w:vertAlign w:val="baseline"/>
                <w:lang w:val="en-US" w:eastAsia="zh-CN"/>
              </w:rPr>
            </w:pPr>
            <w:r>
              <w:rPr>
                <w:rFonts w:hint="default" w:ascii="Times New Roman" w:hAnsi="Times New Roman" w:eastAsia="仿宋_GB2312" w:cs="Times New Roman"/>
                <w:color w:val="auto"/>
                <w:sz w:val="24"/>
                <w:szCs w:val="24"/>
                <w:highlight w:val="none"/>
                <w:u w:val="none"/>
                <w:vertAlign w:val="baseline"/>
                <w:lang w:val="en-US" w:eastAsia="zh-CN"/>
              </w:rPr>
              <w:t>利用项目</w:t>
            </w:r>
          </w:p>
        </w:tc>
        <w:tc>
          <w:tcPr>
            <w:tcW w:w="1284" w:type="dxa"/>
            <w:tcBorders>
              <w:top w:val="single" w:color="000000" w:sz="4" w:space="0"/>
              <w:left w:val="single" w:color="000000" w:sz="4" w:space="0"/>
              <w:bottom w:val="single" w:color="000000" w:sz="4" w:space="0"/>
              <w:right w:val="single" w:color="000000" w:sz="4" w:space="0"/>
            </w:tcBorders>
            <w:vAlign w:val="center"/>
          </w:tcPr>
          <w:p w14:paraId="64132B77">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仿宋_GB2312" w:cs="Times New Roman"/>
                <w:color w:val="auto"/>
                <w:sz w:val="24"/>
                <w:szCs w:val="24"/>
                <w:highlight w:val="none"/>
                <w:u w:val="none"/>
                <w:vertAlign w:val="baseline"/>
                <w:lang w:val="en-US" w:eastAsia="zh-CN"/>
              </w:rPr>
            </w:pPr>
            <w:r>
              <w:rPr>
                <w:rFonts w:hint="default" w:ascii="Times New Roman" w:hAnsi="Times New Roman" w:eastAsia="仿宋_GB2312" w:cs="Times New Roman"/>
                <w:color w:val="auto"/>
                <w:sz w:val="24"/>
                <w:szCs w:val="24"/>
                <w:highlight w:val="none"/>
                <w:u w:val="none"/>
                <w:vertAlign w:val="baseline"/>
                <w:lang w:val="en-US" w:eastAsia="zh-CN"/>
              </w:rPr>
              <w:t>15万吨/年</w:t>
            </w:r>
          </w:p>
        </w:tc>
        <w:tc>
          <w:tcPr>
            <w:tcW w:w="877" w:type="dxa"/>
            <w:tcBorders>
              <w:top w:val="single" w:color="000000" w:sz="4" w:space="0"/>
              <w:left w:val="single" w:color="000000" w:sz="4" w:space="0"/>
              <w:bottom w:val="single" w:color="000000" w:sz="4" w:space="0"/>
              <w:right w:val="single" w:color="000000" w:sz="4" w:space="0"/>
            </w:tcBorders>
            <w:vAlign w:val="center"/>
          </w:tcPr>
          <w:p w14:paraId="5F3C797D">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仿宋_GB2312" w:cs="Times New Roman"/>
                <w:color w:val="auto"/>
                <w:sz w:val="24"/>
                <w:szCs w:val="24"/>
                <w:highlight w:val="none"/>
                <w:u w:val="none"/>
                <w:vertAlign w:val="baseline"/>
                <w:lang w:val="en-US" w:eastAsia="zh-CN"/>
              </w:rPr>
            </w:pPr>
            <w:r>
              <w:rPr>
                <w:rFonts w:hint="default" w:ascii="Times New Roman" w:hAnsi="Times New Roman" w:eastAsia="仿宋_GB2312" w:cs="Times New Roman"/>
                <w:color w:val="auto"/>
                <w:sz w:val="24"/>
                <w:szCs w:val="24"/>
                <w:highlight w:val="none"/>
                <w:u w:val="none"/>
                <w:vertAlign w:val="baseline"/>
                <w:lang w:val="en-US" w:eastAsia="zh-CN"/>
              </w:rPr>
              <w:t>30亩</w:t>
            </w:r>
          </w:p>
        </w:tc>
        <w:tc>
          <w:tcPr>
            <w:tcW w:w="1208" w:type="dxa"/>
            <w:tcBorders>
              <w:top w:val="single" w:color="000000" w:sz="4" w:space="0"/>
              <w:left w:val="single" w:color="000000" w:sz="4" w:space="0"/>
              <w:bottom w:val="single" w:color="000000" w:sz="4" w:space="0"/>
              <w:right w:val="single" w:color="000000" w:sz="4" w:space="0"/>
            </w:tcBorders>
            <w:vAlign w:val="center"/>
          </w:tcPr>
          <w:p w14:paraId="4C5B16FD">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仿宋_GB2312" w:cs="Times New Roman"/>
                <w:color w:val="auto"/>
                <w:sz w:val="24"/>
                <w:szCs w:val="24"/>
                <w:highlight w:val="none"/>
                <w:u w:val="none"/>
                <w:vertAlign w:val="baseline"/>
                <w:lang w:val="en-US" w:eastAsia="zh-CN"/>
              </w:rPr>
            </w:pPr>
            <w:r>
              <w:rPr>
                <w:rFonts w:hint="default" w:ascii="Times New Roman" w:hAnsi="Times New Roman" w:eastAsia="仿宋_GB2312" w:cs="Times New Roman"/>
                <w:color w:val="auto"/>
                <w:sz w:val="24"/>
                <w:szCs w:val="24"/>
                <w:highlight w:val="none"/>
                <w:u w:val="none"/>
                <w:vertAlign w:val="baseline"/>
                <w:lang w:val="en-US" w:eastAsia="zh-CN"/>
              </w:rPr>
              <w:t>长安镇</w:t>
            </w:r>
          </w:p>
          <w:p w14:paraId="1C3A47EA">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仿宋_GB2312" w:cs="Times New Roman"/>
                <w:color w:val="auto"/>
                <w:sz w:val="24"/>
                <w:szCs w:val="24"/>
                <w:highlight w:val="none"/>
                <w:u w:val="none"/>
                <w:vertAlign w:val="baseline"/>
                <w:lang w:val="en-US" w:eastAsia="zh-CN"/>
              </w:rPr>
            </w:pPr>
            <w:r>
              <w:rPr>
                <w:rFonts w:hint="default" w:ascii="Times New Roman" w:hAnsi="Times New Roman" w:eastAsia="仿宋_GB2312" w:cs="Times New Roman"/>
                <w:color w:val="auto"/>
                <w:sz w:val="24"/>
                <w:szCs w:val="24"/>
                <w:highlight w:val="none"/>
                <w:u w:val="none"/>
                <w:vertAlign w:val="baseline"/>
                <w:lang w:val="en-US" w:eastAsia="zh-CN"/>
              </w:rPr>
              <w:t>董滩</w:t>
            </w:r>
          </w:p>
        </w:tc>
        <w:tc>
          <w:tcPr>
            <w:tcW w:w="2237" w:type="dxa"/>
            <w:tcBorders>
              <w:top w:val="single" w:color="000000" w:sz="4" w:space="0"/>
              <w:left w:val="single" w:color="000000" w:sz="4" w:space="0"/>
              <w:bottom w:val="single" w:color="000000" w:sz="4" w:space="0"/>
              <w:right w:val="single" w:color="000000" w:sz="4" w:space="0"/>
            </w:tcBorders>
            <w:vAlign w:val="center"/>
          </w:tcPr>
          <w:p w14:paraId="24B8ACB2">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仿宋_GB2312" w:cs="Times New Roman"/>
                <w:color w:val="auto"/>
                <w:sz w:val="24"/>
                <w:szCs w:val="24"/>
                <w:highlight w:val="none"/>
                <w:u w:val="none"/>
                <w:vertAlign w:val="baseline"/>
                <w:lang w:val="en-US" w:eastAsia="zh-CN"/>
              </w:rPr>
            </w:pPr>
            <w:r>
              <w:rPr>
                <w:rFonts w:hint="default" w:ascii="Times New Roman" w:hAnsi="Times New Roman" w:eastAsia="仿宋_GB2312" w:cs="Times New Roman"/>
                <w:color w:val="auto"/>
                <w:sz w:val="24"/>
                <w:szCs w:val="24"/>
                <w:highlight w:val="none"/>
                <w:u w:val="none"/>
                <w:vertAlign w:val="baseline"/>
                <w:lang w:val="en-US" w:eastAsia="zh-CN"/>
              </w:rPr>
              <w:t>1000</w:t>
            </w:r>
          </w:p>
        </w:tc>
      </w:tr>
    </w:tbl>
    <w:p w14:paraId="6DFBD671">
      <w:pPr>
        <w:pStyle w:val="2"/>
        <w:pageBreakBefore w:val="0"/>
        <w:kinsoku/>
        <w:wordWrap/>
        <w:overflowPunct/>
        <w:topLinePunct w:val="0"/>
        <w:autoSpaceDE/>
        <w:autoSpaceDN/>
        <w:bidi w:val="0"/>
        <w:adjustRightInd/>
        <w:spacing w:before="0" w:beforeLines="0" w:beforeAutospacing="0" w:after="0" w:afterLines="0" w:afterAutospacing="0" w:line="560" w:lineRule="exact"/>
        <w:ind w:left="0" w:leftChars="0" w:firstLine="640" w:firstLineChars="200"/>
        <w:jc w:val="both"/>
        <w:textAlignment w:val="auto"/>
        <w:rPr>
          <w:rFonts w:hint="default" w:ascii="Times New Roman" w:hAnsi="Times New Roman" w:eastAsia="仿宋_GB2312" w:cs="Times New Roman"/>
          <w:b w:val="0"/>
          <w:bCs/>
          <w:color w:val="auto"/>
          <w:sz w:val="32"/>
          <w:szCs w:val="32"/>
          <w:u w:val="none"/>
          <w:lang w:val="en-US" w:eastAsia="zh-CN"/>
        </w:rPr>
      </w:pPr>
      <w:bookmarkStart w:id="78" w:name="_Toc30293"/>
      <w:bookmarkStart w:id="79" w:name="_Toc20127"/>
      <w:bookmarkStart w:id="80" w:name="_Toc31792"/>
      <w:r>
        <w:rPr>
          <w:rFonts w:hint="eastAsia" w:ascii="黑体" w:hAnsi="黑体" w:eastAsia="黑体" w:cs="黑体"/>
          <w:b w:val="0"/>
          <w:bCs/>
          <w:color w:val="auto"/>
          <w:sz w:val="32"/>
          <w:szCs w:val="32"/>
          <w:u w:val="none"/>
          <w:lang w:val="en-US" w:eastAsia="zh-CN"/>
        </w:rPr>
        <w:t>八、建筑垃圾存量治理规划</w:t>
      </w:r>
      <w:bookmarkEnd w:id="78"/>
      <w:bookmarkEnd w:id="79"/>
      <w:bookmarkEnd w:id="80"/>
    </w:p>
    <w:p w14:paraId="2CE5AE14">
      <w:pPr>
        <w:pStyle w:val="3"/>
        <w:pageBreakBefore w:val="0"/>
        <w:kinsoku/>
        <w:wordWrap/>
        <w:overflowPunct/>
        <w:topLinePunct w:val="0"/>
        <w:autoSpaceDE/>
        <w:autoSpaceDN/>
        <w:bidi w:val="0"/>
        <w:adjustRightInd/>
        <w:spacing w:beforeAutospacing="0" w:afterAutospacing="0" w:line="560" w:lineRule="exact"/>
        <w:ind w:left="0" w:leftChars="0" w:firstLine="640" w:firstLineChars="200"/>
        <w:textAlignment w:val="auto"/>
        <w:rPr>
          <w:rFonts w:hint="eastAsia" w:ascii="楷体_GB2312" w:hAnsi="楷体_GB2312" w:eastAsia="楷体_GB2312" w:cs="楷体_GB2312"/>
          <w:b w:val="0"/>
          <w:bCs/>
          <w:color w:val="auto"/>
          <w:sz w:val="32"/>
          <w:szCs w:val="32"/>
          <w:u w:val="none"/>
          <w:lang w:val="en-US" w:eastAsia="zh-CN"/>
        </w:rPr>
      </w:pPr>
      <w:bookmarkStart w:id="81" w:name="_Toc27242"/>
      <w:bookmarkStart w:id="82" w:name="_Toc25182"/>
      <w:bookmarkStart w:id="83" w:name="_Toc23038"/>
      <w:r>
        <w:rPr>
          <w:rFonts w:hint="eastAsia" w:ascii="楷体_GB2312" w:hAnsi="楷体_GB2312" w:eastAsia="楷体_GB2312" w:cs="楷体_GB2312"/>
          <w:b w:val="0"/>
          <w:bCs/>
          <w:color w:val="auto"/>
          <w:sz w:val="32"/>
          <w:szCs w:val="32"/>
          <w:u w:val="none"/>
          <w:lang w:val="en-US" w:eastAsia="zh-CN"/>
        </w:rPr>
        <w:t>（一）存量建筑垃圾现状</w:t>
      </w:r>
      <w:bookmarkEnd w:id="81"/>
      <w:bookmarkEnd w:id="82"/>
      <w:bookmarkEnd w:id="83"/>
    </w:p>
    <w:p w14:paraId="16CCE95A">
      <w:pPr>
        <w:pageBreakBefore w:val="0"/>
        <w:kinsoku/>
        <w:wordWrap/>
        <w:overflowPunct/>
        <w:topLinePunct w:val="0"/>
        <w:autoSpaceDE/>
        <w:autoSpaceDN/>
        <w:bidi w:val="0"/>
        <w:adjustRightInd/>
        <w:spacing w:beforeAutospacing="0" w:afterAutospacing="0" w:line="560" w:lineRule="exact"/>
        <w:ind w:left="0" w:leftChars="0"/>
        <w:textAlignment w:val="auto"/>
        <w:rPr>
          <w:rFonts w:hint="default" w:ascii="Times New Roman" w:hAnsi="Times New Roman" w:eastAsia="仿宋_GB2312" w:cs="Times New Roman"/>
          <w:b w:val="0"/>
          <w:bCs/>
          <w:color w:val="auto"/>
          <w:sz w:val="32"/>
          <w:szCs w:val="32"/>
          <w:u w:val="none"/>
          <w:lang w:val="en-US" w:eastAsia="zh-CN"/>
        </w:rPr>
      </w:pPr>
      <w:r>
        <w:rPr>
          <w:rFonts w:hint="default" w:ascii="Times New Roman" w:hAnsi="Times New Roman" w:eastAsia="仿宋_GB2312" w:cs="Times New Roman"/>
          <w:b w:val="0"/>
          <w:bCs/>
          <w:color w:val="auto"/>
          <w:sz w:val="32"/>
          <w:szCs w:val="32"/>
          <w:u w:val="none"/>
          <w:lang w:val="en-US" w:eastAsia="zh-CN"/>
        </w:rPr>
        <w:t>伴随着城市建设步伐不断加快，</w:t>
      </w:r>
      <w:r>
        <w:rPr>
          <w:rFonts w:hint="default" w:ascii="Times New Roman" w:hAnsi="Times New Roman" w:eastAsia="仿宋_GB2312" w:cs="Times New Roman"/>
          <w:b w:val="0"/>
          <w:bCs/>
          <w:color w:val="auto"/>
          <w:sz w:val="32"/>
          <w:szCs w:val="32"/>
          <w:highlight w:val="none"/>
          <w:u w:val="none"/>
          <w:lang w:val="en-US" w:eastAsia="zh-CN"/>
        </w:rPr>
        <w:t>融安县</w:t>
      </w:r>
      <w:r>
        <w:rPr>
          <w:rFonts w:hint="default" w:ascii="Times New Roman" w:hAnsi="Times New Roman" w:eastAsia="仿宋_GB2312" w:cs="Times New Roman"/>
          <w:b w:val="0"/>
          <w:bCs/>
          <w:color w:val="auto"/>
          <w:sz w:val="32"/>
          <w:szCs w:val="32"/>
          <w:u w:val="none"/>
          <w:lang w:val="en-US" w:eastAsia="zh-CN"/>
        </w:rPr>
        <w:t>在建设发展过程中产生了大量建筑垃圾。由于缺乏统一完善的建筑垃圾管理及资源化利用办法和规范的处理手段，多数建筑垃圾采取扔弃、填埋等简单方式处理，不仅对生态造成了破坏，也产生了一定的安全隐患。针对该问题，</w:t>
      </w:r>
      <w:r>
        <w:rPr>
          <w:rFonts w:hint="default" w:ascii="Times New Roman" w:hAnsi="Times New Roman" w:eastAsia="仿宋_GB2312" w:cs="Times New Roman"/>
          <w:b w:val="0"/>
          <w:bCs/>
          <w:color w:val="auto"/>
          <w:sz w:val="32"/>
          <w:szCs w:val="32"/>
          <w:highlight w:val="none"/>
          <w:u w:val="none"/>
          <w:lang w:val="en-US" w:eastAsia="zh-CN"/>
        </w:rPr>
        <w:t>以</w:t>
      </w:r>
      <w:r>
        <w:rPr>
          <w:rFonts w:hint="eastAsia" w:ascii="仿宋_GB2312" w:hAnsi="仿宋_GB2312" w:eastAsia="仿宋_GB2312" w:cs="仿宋_GB2312"/>
          <w:b w:val="0"/>
          <w:bCs/>
          <w:color w:val="auto"/>
          <w:sz w:val="32"/>
          <w:szCs w:val="32"/>
          <w:highlight w:val="none"/>
          <w:u w:val="none"/>
          <w:lang w:val="en-US" w:eastAsia="zh-CN"/>
        </w:rPr>
        <w:t>“</w:t>
      </w:r>
      <w:r>
        <w:rPr>
          <w:rFonts w:hint="default" w:ascii="Times New Roman" w:hAnsi="Times New Roman" w:eastAsia="仿宋_GB2312" w:cs="Times New Roman"/>
          <w:b w:val="0"/>
          <w:bCs/>
          <w:color w:val="auto"/>
          <w:sz w:val="32"/>
          <w:szCs w:val="32"/>
          <w:highlight w:val="none"/>
          <w:u w:val="none"/>
          <w:lang w:val="en-US" w:eastAsia="zh-CN"/>
        </w:rPr>
        <w:t>全国</w:t>
      </w:r>
      <w:r>
        <w:rPr>
          <w:rFonts w:hint="default" w:ascii="Times New Roman" w:hAnsi="Times New Roman" w:eastAsia="仿宋_GB2312" w:cs="Times New Roman"/>
          <w:b w:val="0"/>
          <w:bCs/>
          <w:sz w:val="32"/>
          <w:szCs w:val="32"/>
          <w:highlight w:val="none"/>
          <w:lang w:val="en-US" w:eastAsia="zh-CN"/>
        </w:rPr>
        <w:t>建筑垃圾专项整治行动</w:t>
      </w:r>
      <w:r>
        <w:rPr>
          <w:rFonts w:hint="eastAsia" w:ascii="仿宋_GB2312" w:hAnsi="仿宋_GB2312" w:eastAsia="仿宋_GB2312" w:cs="仿宋_GB2312"/>
          <w:b w:val="0"/>
          <w:bCs/>
          <w:color w:val="auto"/>
          <w:sz w:val="32"/>
          <w:szCs w:val="32"/>
          <w:highlight w:val="none"/>
          <w:u w:val="none"/>
          <w:lang w:val="en-US" w:eastAsia="zh-CN"/>
        </w:rPr>
        <w:t>”</w:t>
      </w:r>
      <w:r>
        <w:rPr>
          <w:rFonts w:hint="default" w:ascii="Times New Roman" w:hAnsi="Times New Roman" w:eastAsia="仿宋_GB2312" w:cs="Times New Roman"/>
          <w:b w:val="0"/>
          <w:bCs/>
          <w:color w:val="auto"/>
          <w:sz w:val="32"/>
          <w:szCs w:val="32"/>
          <w:highlight w:val="none"/>
          <w:u w:val="none"/>
          <w:lang w:val="en-US" w:eastAsia="zh-CN"/>
        </w:rPr>
        <w:t>为抓手，积极探索建筑垃圾减量化、资源化、无害化处置路径，</w:t>
      </w:r>
      <w:r>
        <w:rPr>
          <w:rFonts w:hint="eastAsia" w:ascii="Times New Roman" w:hAnsi="Times New Roman" w:eastAsia="仿宋_GB2312" w:cs="Times New Roman"/>
          <w:b w:val="0"/>
          <w:bCs/>
          <w:color w:val="auto"/>
          <w:sz w:val="32"/>
          <w:szCs w:val="32"/>
          <w:highlight w:val="none"/>
          <w:u w:val="none"/>
          <w:lang w:val="en-US" w:eastAsia="zh-CN"/>
        </w:rPr>
        <w:t>实现</w:t>
      </w:r>
      <w:r>
        <w:rPr>
          <w:rFonts w:hint="default" w:ascii="Times New Roman" w:hAnsi="Times New Roman" w:eastAsia="仿宋_GB2312" w:cs="Times New Roman"/>
          <w:b w:val="0"/>
          <w:bCs/>
          <w:color w:val="auto"/>
          <w:sz w:val="32"/>
          <w:szCs w:val="32"/>
          <w:highlight w:val="none"/>
          <w:u w:val="none"/>
          <w:lang w:val="en-US" w:eastAsia="zh-CN"/>
        </w:rPr>
        <w:t>辖区范围内存量建筑垃</w:t>
      </w:r>
      <w:r>
        <w:rPr>
          <w:rFonts w:hint="default" w:ascii="Times New Roman" w:hAnsi="Times New Roman" w:eastAsia="仿宋_GB2312" w:cs="Times New Roman"/>
          <w:b w:val="0"/>
          <w:bCs/>
          <w:color w:val="auto"/>
          <w:sz w:val="32"/>
          <w:szCs w:val="32"/>
          <w:u w:val="none"/>
          <w:lang w:val="en-US" w:eastAsia="zh-CN"/>
        </w:rPr>
        <w:t>圾及时处置和资源化利用。</w:t>
      </w:r>
    </w:p>
    <w:p w14:paraId="6FBAA801">
      <w:pPr>
        <w:pStyle w:val="3"/>
        <w:pageBreakBefore w:val="0"/>
        <w:kinsoku/>
        <w:wordWrap/>
        <w:overflowPunct/>
        <w:topLinePunct w:val="0"/>
        <w:autoSpaceDE/>
        <w:autoSpaceDN/>
        <w:bidi w:val="0"/>
        <w:adjustRightInd/>
        <w:spacing w:beforeAutospacing="0" w:afterAutospacing="0" w:line="560" w:lineRule="exact"/>
        <w:ind w:left="0" w:leftChars="0"/>
        <w:textAlignment w:val="auto"/>
        <w:rPr>
          <w:rFonts w:hint="default" w:ascii="楷体_GB2312" w:hAnsi="楷体_GB2312" w:eastAsia="楷体_GB2312" w:cs="楷体_GB2312"/>
          <w:b w:val="0"/>
          <w:bCs/>
          <w:color w:val="auto"/>
          <w:sz w:val="32"/>
          <w:szCs w:val="32"/>
          <w:u w:val="none"/>
          <w:lang w:val="en-US" w:eastAsia="zh-CN"/>
        </w:rPr>
      </w:pPr>
      <w:bookmarkStart w:id="84" w:name="_Toc8900"/>
      <w:r>
        <w:rPr>
          <w:rFonts w:hint="eastAsia" w:ascii="Times New Roman" w:hAnsi="Times New Roman" w:eastAsia="仿宋_GB2312" w:cs="Times New Roman"/>
          <w:b w:val="0"/>
          <w:bCs/>
          <w:color w:val="auto"/>
          <w:sz w:val="32"/>
          <w:szCs w:val="32"/>
          <w:u w:val="none"/>
          <w:lang w:val="en-US" w:eastAsia="zh-CN"/>
        </w:rPr>
        <w:t xml:space="preserve">   </w:t>
      </w:r>
      <w:r>
        <w:rPr>
          <w:rFonts w:hint="eastAsia" w:ascii="楷体_GB2312" w:hAnsi="楷体_GB2312" w:eastAsia="楷体_GB2312" w:cs="楷体_GB2312"/>
          <w:b w:val="0"/>
          <w:bCs/>
          <w:color w:val="auto"/>
          <w:sz w:val="32"/>
          <w:szCs w:val="32"/>
          <w:u w:val="none"/>
          <w:lang w:val="en-US" w:eastAsia="zh-CN"/>
        </w:rPr>
        <w:t xml:space="preserve"> </w:t>
      </w:r>
      <w:bookmarkStart w:id="85" w:name="_Toc2026"/>
      <w:bookmarkStart w:id="86" w:name="_Toc9393"/>
      <w:r>
        <w:rPr>
          <w:rFonts w:hint="eastAsia" w:ascii="楷体_GB2312" w:hAnsi="楷体_GB2312" w:eastAsia="楷体_GB2312" w:cs="楷体_GB2312"/>
          <w:b w:val="0"/>
          <w:bCs/>
          <w:color w:val="auto"/>
          <w:sz w:val="32"/>
          <w:szCs w:val="32"/>
          <w:u w:val="none"/>
          <w:lang w:val="en-US" w:eastAsia="zh-CN"/>
        </w:rPr>
        <w:t>（二）</w:t>
      </w:r>
      <w:r>
        <w:rPr>
          <w:rFonts w:hint="default" w:ascii="楷体_GB2312" w:hAnsi="楷体_GB2312" w:eastAsia="楷体_GB2312" w:cs="楷体_GB2312"/>
          <w:b w:val="0"/>
          <w:bCs/>
          <w:color w:val="auto"/>
          <w:sz w:val="32"/>
          <w:szCs w:val="32"/>
          <w:u w:val="none"/>
          <w:lang w:val="en-US" w:eastAsia="zh-CN"/>
        </w:rPr>
        <w:t>存量治理工作机制</w:t>
      </w:r>
      <w:bookmarkEnd w:id="84"/>
      <w:bookmarkEnd w:id="85"/>
      <w:bookmarkEnd w:id="86"/>
    </w:p>
    <w:p w14:paraId="37AB4634">
      <w:pPr>
        <w:pageBreakBefore w:val="0"/>
        <w:kinsoku/>
        <w:wordWrap/>
        <w:overflowPunct/>
        <w:topLinePunct w:val="0"/>
        <w:autoSpaceDE/>
        <w:autoSpaceDN/>
        <w:bidi w:val="0"/>
        <w:adjustRightInd/>
        <w:spacing w:beforeAutospacing="0" w:afterAutospacing="0" w:line="560" w:lineRule="exact"/>
        <w:ind w:left="0" w:leftChars="0"/>
        <w:textAlignment w:val="auto"/>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b w:val="0"/>
          <w:bCs/>
          <w:color w:val="auto"/>
          <w:sz w:val="32"/>
          <w:szCs w:val="32"/>
          <w:u w:val="none"/>
          <w:lang w:val="en-US" w:eastAsia="zh-CN"/>
        </w:rPr>
        <w:t>强化闭环管理。聚焦摸</w:t>
      </w:r>
      <w:r>
        <w:rPr>
          <w:rFonts w:hint="default" w:ascii="Times New Roman" w:hAnsi="Times New Roman" w:eastAsia="仿宋_GB2312" w:cs="Times New Roman"/>
          <w:color w:val="auto"/>
          <w:sz w:val="32"/>
          <w:szCs w:val="32"/>
          <w:u w:val="none"/>
          <w:lang w:val="en-US" w:eastAsia="zh-CN"/>
        </w:rPr>
        <w:t>底排查、治理和长效监管等关键环节。深入细致展开摸底排查，对存量建筑垃圾追根溯源；根据排查结果，充分考虑实际情况，确保治理措施既有效又可持续</w:t>
      </w:r>
      <w:r>
        <w:rPr>
          <w:rFonts w:hint="eastAsia" w:ascii="Times New Roman" w:hAnsi="Times New Roman" w:eastAsia="仿宋_GB2312" w:cs="Times New Roman"/>
          <w:color w:val="auto"/>
          <w:sz w:val="32"/>
          <w:szCs w:val="32"/>
          <w:u w:val="none"/>
          <w:lang w:val="en-US" w:eastAsia="zh-CN"/>
        </w:rPr>
        <w:t>。</w:t>
      </w:r>
      <w:r>
        <w:rPr>
          <w:rFonts w:hint="default" w:ascii="Times New Roman" w:hAnsi="Times New Roman" w:eastAsia="仿宋_GB2312" w:cs="Times New Roman"/>
          <w:color w:val="auto"/>
          <w:sz w:val="32"/>
          <w:szCs w:val="32"/>
          <w:u w:val="none"/>
          <w:lang w:val="en-US" w:eastAsia="zh-CN"/>
        </w:rPr>
        <w:t>同时，还需加强组织领导和协调配合，形成多方联动、齐抓共管的良好局面，确保治理工作能够高效推进；加强日常</w:t>
      </w:r>
      <w:r>
        <w:rPr>
          <w:rFonts w:hint="eastAsia" w:ascii="Times New Roman" w:hAnsi="Times New Roman" w:eastAsia="仿宋_GB2312" w:cs="Times New Roman"/>
          <w:color w:val="auto"/>
          <w:sz w:val="32"/>
          <w:szCs w:val="32"/>
          <w:u w:val="none"/>
          <w:lang w:val="en-US" w:eastAsia="zh-CN"/>
        </w:rPr>
        <w:t>巡查</w:t>
      </w:r>
      <w:r>
        <w:rPr>
          <w:rFonts w:hint="default" w:ascii="Times New Roman" w:hAnsi="Times New Roman" w:eastAsia="仿宋_GB2312" w:cs="Times New Roman"/>
          <w:color w:val="auto"/>
          <w:sz w:val="32"/>
          <w:szCs w:val="32"/>
          <w:u w:val="none"/>
          <w:lang w:val="en-US" w:eastAsia="zh-CN"/>
        </w:rPr>
        <w:t>和监督检</w:t>
      </w:r>
      <w:r>
        <w:rPr>
          <w:rFonts w:hint="eastAsia" w:ascii="Times New Roman" w:hAnsi="Times New Roman" w:eastAsia="仿宋_GB2312" w:cs="Times New Roman"/>
          <w:color w:val="auto"/>
          <w:sz w:val="32"/>
          <w:szCs w:val="32"/>
          <w:u w:val="none"/>
          <w:lang w:val="en-US" w:eastAsia="zh-CN"/>
        </w:rPr>
        <w:t>查</w:t>
      </w:r>
      <w:r>
        <w:rPr>
          <w:rFonts w:hint="default" w:ascii="Times New Roman" w:hAnsi="Times New Roman" w:eastAsia="仿宋_GB2312" w:cs="Times New Roman"/>
          <w:color w:val="auto"/>
          <w:sz w:val="32"/>
          <w:szCs w:val="32"/>
          <w:u w:val="none"/>
          <w:lang w:val="en-US" w:eastAsia="zh-CN"/>
        </w:rPr>
        <w:t>，确保存量问题得到及时有效处理。同时，还应建立问题反馈和整改机制，对发现的问题进行及时记录和跟踪处理，确保问题能够得到彻底解决。此外，还应完善相关法规制度和政策措施，为存量治理工作提供有力的法律保障和政策支持。</w:t>
      </w:r>
    </w:p>
    <w:p w14:paraId="354C31CE">
      <w:pPr>
        <w:pageBreakBefore w:val="0"/>
        <w:kinsoku/>
        <w:wordWrap/>
        <w:overflowPunct/>
        <w:topLinePunct w:val="0"/>
        <w:autoSpaceDE/>
        <w:autoSpaceDN/>
        <w:bidi w:val="0"/>
        <w:adjustRightInd/>
        <w:spacing w:beforeAutospacing="0" w:afterAutospacing="0" w:line="560" w:lineRule="exact"/>
        <w:ind w:left="0" w:leftChars="0"/>
        <w:textAlignment w:val="auto"/>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val="en-US" w:eastAsia="zh-CN"/>
        </w:rPr>
        <w:t>健全执法监督。按照</w:t>
      </w:r>
      <w:r>
        <w:rPr>
          <w:rFonts w:hint="eastAsia" w:ascii="仿宋_GB2312" w:hAnsi="仿宋_GB2312" w:eastAsia="仿宋_GB2312" w:cs="仿宋_GB2312"/>
          <w:color w:val="auto"/>
          <w:sz w:val="32"/>
          <w:szCs w:val="32"/>
          <w:u w:val="none"/>
          <w:lang w:val="en-US" w:eastAsia="zh-CN"/>
        </w:rPr>
        <w:t>“</w:t>
      </w:r>
      <w:r>
        <w:rPr>
          <w:rFonts w:hint="default" w:ascii="Times New Roman" w:hAnsi="Times New Roman" w:eastAsia="仿宋_GB2312" w:cs="Times New Roman"/>
          <w:color w:val="auto"/>
          <w:sz w:val="32"/>
          <w:szCs w:val="32"/>
          <w:u w:val="none"/>
          <w:lang w:val="en-US" w:eastAsia="zh-CN"/>
        </w:rPr>
        <w:t>零容忍、严惩处、溯源头</w:t>
      </w:r>
      <w:r>
        <w:rPr>
          <w:rFonts w:hint="eastAsia" w:ascii="仿宋_GB2312" w:hAnsi="仿宋_GB2312" w:eastAsia="仿宋_GB2312" w:cs="仿宋_GB2312"/>
          <w:color w:val="auto"/>
          <w:sz w:val="32"/>
          <w:szCs w:val="32"/>
          <w:u w:val="none"/>
          <w:lang w:val="en-US" w:eastAsia="zh-CN"/>
        </w:rPr>
        <w:t>”</w:t>
      </w:r>
      <w:r>
        <w:rPr>
          <w:rFonts w:hint="default" w:ascii="Times New Roman" w:hAnsi="Times New Roman" w:eastAsia="仿宋_GB2312" w:cs="Times New Roman"/>
          <w:color w:val="auto"/>
          <w:sz w:val="32"/>
          <w:szCs w:val="32"/>
          <w:u w:val="none"/>
          <w:lang w:val="en-US" w:eastAsia="zh-CN"/>
        </w:rPr>
        <w:t>的原则，对于违反建筑垃圾管理规定的单位和个人，应依法给予罚款、吊销许可证等处罚。执法部门需要加大对建筑垃圾存量的监管力度，加大联合执法力度，确保各项规定得到有效执行。建立健全跨部门协作机制，实现信息共享和资源整合，共同监管建筑垃圾的排放和运输。</w:t>
      </w:r>
    </w:p>
    <w:p w14:paraId="2909DC59">
      <w:pPr>
        <w:pageBreakBefore w:val="0"/>
        <w:kinsoku/>
        <w:wordWrap/>
        <w:overflowPunct/>
        <w:topLinePunct w:val="0"/>
        <w:autoSpaceDE/>
        <w:autoSpaceDN/>
        <w:bidi w:val="0"/>
        <w:adjustRightInd/>
        <w:spacing w:beforeAutospacing="0" w:afterAutospacing="0" w:line="560" w:lineRule="exact"/>
        <w:ind w:left="0" w:leftChars="0"/>
        <w:textAlignment w:val="auto"/>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b w:val="0"/>
          <w:bCs w:val="0"/>
          <w:color w:val="auto"/>
          <w:sz w:val="32"/>
          <w:szCs w:val="32"/>
          <w:u w:val="none"/>
          <w:lang w:val="en-US" w:eastAsia="zh-CN"/>
        </w:rPr>
        <w:t>加强宣传引导。鼓</w:t>
      </w:r>
      <w:r>
        <w:rPr>
          <w:rFonts w:hint="default" w:ascii="Times New Roman" w:hAnsi="Times New Roman" w:eastAsia="仿宋_GB2312" w:cs="Times New Roman"/>
          <w:color w:val="auto"/>
          <w:sz w:val="32"/>
          <w:szCs w:val="32"/>
          <w:u w:val="none"/>
          <w:lang w:val="en-US" w:eastAsia="zh-CN"/>
        </w:rPr>
        <w:t>励公众参与建筑垃圾存量治理的监督，通过媒体宣传增强公众环保意识和资源节约意识。</w:t>
      </w:r>
      <w:r>
        <w:rPr>
          <w:rFonts w:hint="eastAsia" w:eastAsia="仿宋_GB2312" w:cs="Times New Roman"/>
          <w:color w:val="auto"/>
          <w:sz w:val="32"/>
          <w:szCs w:val="32"/>
          <w:u w:val="none"/>
          <w:lang w:val="en-US" w:eastAsia="zh-CN"/>
        </w:rPr>
        <w:t>县</w:t>
      </w:r>
      <w:r>
        <w:rPr>
          <w:rFonts w:hint="default" w:ascii="Times New Roman" w:hAnsi="Times New Roman" w:eastAsia="仿宋_GB2312" w:cs="Times New Roman"/>
          <w:color w:val="auto"/>
          <w:sz w:val="32"/>
          <w:szCs w:val="32"/>
          <w:u w:val="none"/>
          <w:lang w:val="en-US" w:eastAsia="zh-CN"/>
        </w:rPr>
        <w:t>综合</w:t>
      </w:r>
      <w:r>
        <w:rPr>
          <w:rFonts w:hint="eastAsia" w:ascii="Times New Roman" w:hAnsi="Times New Roman" w:eastAsia="仿宋_GB2312" w:cs="Times New Roman"/>
          <w:color w:val="auto"/>
          <w:sz w:val="32"/>
          <w:szCs w:val="32"/>
          <w:u w:val="none"/>
          <w:lang w:val="en-US" w:eastAsia="zh-CN"/>
        </w:rPr>
        <w:t>行政</w:t>
      </w:r>
      <w:r>
        <w:rPr>
          <w:rFonts w:hint="default" w:ascii="Times New Roman" w:hAnsi="Times New Roman" w:eastAsia="仿宋_GB2312" w:cs="Times New Roman"/>
          <w:color w:val="auto"/>
          <w:sz w:val="32"/>
          <w:szCs w:val="32"/>
          <w:u w:val="none"/>
          <w:lang w:val="en-US" w:eastAsia="zh-CN"/>
        </w:rPr>
        <w:t>执法</w:t>
      </w:r>
      <w:r>
        <w:rPr>
          <w:rFonts w:hint="eastAsia" w:eastAsia="仿宋_GB2312" w:cs="Times New Roman"/>
          <w:color w:val="auto"/>
          <w:sz w:val="32"/>
          <w:szCs w:val="32"/>
          <w:u w:val="none"/>
          <w:lang w:val="en-US" w:eastAsia="zh-CN"/>
        </w:rPr>
        <w:t>局</w:t>
      </w:r>
      <w:r>
        <w:rPr>
          <w:rFonts w:hint="default" w:ascii="Times New Roman" w:hAnsi="Times New Roman" w:eastAsia="仿宋_GB2312" w:cs="Times New Roman"/>
          <w:color w:val="auto"/>
          <w:sz w:val="32"/>
          <w:szCs w:val="32"/>
          <w:u w:val="none"/>
          <w:lang w:val="en-US" w:eastAsia="zh-CN"/>
        </w:rPr>
        <w:t>加大宣传力度，要充分发挥舆论导向和媒体监督作用，通过广播、电视、网络等媒体和公益广告，广泛宣传建筑垃圾综合利用的重要性，普及建筑垃圾综合利用基础知识，增强公众的资源节约意识、环保意识，提高公众参与建筑垃圾综合利用工作的自觉性和积极性，营造全社会理解和支持建筑垃圾综合利用的良好氛围。</w:t>
      </w:r>
    </w:p>
    <w:p w14:paraId="7A2EE409">
      <w:pPr>
        <w:pageBreakBefore w:val="0"/>
        <w:kinsoku/>
        <w:wordWrap/>
        <w:overflowPunct/>
        <w:topLinePunct w:val="0"/>
        <w:autoSpaceDE/>
        <w:autoSpaceDN/>
        <w:bidi w:val="0"/>
        <w:adjustRightInd/>
        <w:spacing w:beforeAutospacing="0" w:afterAutospacing="0" w:line="560" w:lineRule="exact"/>
        <w:ind w:left="0" w:leftChars="0"/>
        <w:textAlignment w:val="auto"/>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b w:val="0"/>
          <w:bCs w:val="0"/>
          <w:color w:val="auto"/>
          <w:sz w:val="32"/>
          <w:szCs w:val="32"/>
          <w:u w:val="none"/>
          <w:lang w:val="en-US" w:eastAsia="zh-CN"/>
        </w:rPr>
        <w:t>推进数字</w:t>
      </w:r>
      <w:r>
        <w:rPr>
          <w:rFonts w:hint="default" w:ascii="Times New Roman" w:hAnsi="Times New Roman" w:eastAsia="仿宋_GB2312" w:cs="Times New Roman"/>
          <w:b w:val="0"/>
          <w:bCs w:val="0"/>
          <w:color w:val="auto"/>
          <w:sz w:val="32"/>
          <w:szCs w:val="32"/>
          <w:highlight w:val="none"/>
          <w:u w:val="none"/>
          <w:lang w:val="en-US" w:eastAsia="zh-CN"/>
        </w:rPr>
        <w:t>治理。</w:t>
      </w:r>
      <w:r>
        <w:rPr>
          <w:rFonts w:hint="default" w:ascii="Times New Roman" w:hAnsi="Times New Roman" w:eastAsia="仿宋_GB2312" w:cs="Times New Roman"/>
          <w:b w:val="0"/>
          <w:bCs w:val="0"/>
          <w:color w:val="auto"/>
          <w:sz w:val="32"/>
          <w:szCs w:val="32"/>
          <w:u w:val="none"/>
          <w:lang w:val="en-US" w:eastAsia="zh-CN"/>
        </w:rPr>
        <w:t>加</w:t>
      </w:r>
      <w:r>
        <w:rPr>
          <w:rFonts w:hint="default" w:ascii="Times New Roman" w:hAnsi="Times New Roman" w:eastAsia="仿宋_GB2312" w:cs="Times New Roman"/>
          <w:color w:val="auto"/>
          <w:sz w:val="32"/>
          <w:szCs w:val="32"/>
          <w:u w:val="none"/>
          <w:lang w:val="en-US" w:eastAsia="zh-CN"/>
        </w:rPr>
        <w:t>快数字化平台的推广应用，通过数字治理平台实现垃圾处理的智能化与数字化管理，包括全周期介入监管、数字化平台结合运输车辆的车载智能终端等，有效防止建筑垃圾随意处置、非法倾倒等现象，加快实现工程渣土由</w:t>
      </w:r>
      <w:r>
        <w:rPr>
          <w:rFonts w:hint="eastAsia" w:ascii="仿宋_GB2312" w:hAnsi="仿宋_GB2312" w:eastAsia="仿宋_GB2312" w:cs="仿宋_GB2312"/>
          <w:color w:val="auto"/>
          <w:sz w:val="32"/>
          <w:szCs w:val="32"/>
          <w:u w:val="none"/>
          <w:lang w:val="en-US" w:eastAsia="zh-CN"/>
        </w:rPr>
        <w:t>“</w:t>
      </w:r>
      <w:r>
        <w:rPr>
          <w:rFonts w:hint="default" w:ascii="Times New Roman" w:hAnsi="Times New Roman" w:eastAsia="仿宋_GB2312" w:cs="Times New Roman"/>
          <w:color w:val="auto"/>
          <w:sz w:val="32"/>
          <w:szCs w:val="32"/>
          <w:u w:val="none"/>
          <w:lang w:val="en-US" w:eastAsia="zh-CN"/>
        </w:rPr>
        <w:t>人防</w:t>
      </w:r>
      <w:r>
        <w:rPr>
          <w:rFonts w:hint="eastAsia" w:ascii="仿宋_GB2312" w:hAnsi="仿宋_GB2312" w:eastAsia="仿宋_GB2312" w:cs="仿宋_GB2312"/>
          <w:color w:val="auto"/>
          <w:sz w:val="32"/>
          <w:szCs w:val="32"/>
          <w:u w:val="none"/>
          <w:lang w:val="en-US" w:eastAsia="zh-CN"/>
        </w:rPr>
        <w:t>”</w:t>
      </w:r>
      <w:r>
        <w:rPr>
          <w:rFonts w:hint="default" w:ascii="Times New Roman" w:hAnsi="Times New Roman" w:eastAsia="仿宋_GB2312" w:cs="Times New Roman"/>
          <w:color w:val="auto"/>
          <w:sz w:val="32"/>
          <w:szCs w:val="32"/>
          <w:u w:val="none"/>
          <w:lang w:val="en-US" w:eastAsia="zh-CN"/>
        </w:rPr>
        <w:t>向</w:t>
      </w:r>
      <w:r>
        <w:rPr>
          <w:rFonts w:hint="eastAsia" w:ascii="仿宋_GB2312" w:hAnsi="仿宋_GB2312" w:eastAsia="仿宋_GB2312" w:cs="仿宋_GB2312"/>
          <w:color w:val="auto"/>
          <w:sz w:val="32"/>
          <w:szCs w:val="32"/>
          <w:u w:val="none"/>
          <w:lang w:val="en-US" w:eastAsia="zh-CN"/>
        </w:rPr>
        <w:t>“</w:t>
      </w:r>
      <w:r>
        <w:rPr>
          <w:rFonts w:hint="default" w:ascii="Times New Roman" w:hAnsi="Times New Roman" w:eastAsia="仿宋_GB2312" w:cs="Times New Roman"/>
          <w:color w:val="auto"/>
          <w:sz w:val="32"/>
          <w:szCs w:val="32"/>
          <w:u w:val="none"/>
          <w:lang w:val="en-US" w:eastAsia="zh-CN"/>
        </w:rPr>
        <w:t>技防</w:t>
      </w:r>
      <w:r>
        <w:rPr>
          <w:rFonts w:hint="eastAsia" w:ascii="仿宋_GB2312" w:hAnsi="仿宋_GB2312" w:eastAsia="仿宋_GB2312" w:cs="仿宋_GB2312"/>
          <w:color w:val="auto"/>
          <w:sz w:val="32"/>
          <w:szCs w:val="32"/>
          <w:u w:val="none"/>
          <w:lang w:val="en-US" w:eastAsia="zh-CN"/>
        </w:rPr>
        <w:t>”</w:t>
      </w:r>
      <w:r>
        <w:rPr>
          <w:rFonts w:hint="default" w:ascii="Times New Roman" w:hAnsi="Times New Roman" w:eastAsia="仿宋_GB2312" w:cs="Times New Roman"/>
          <w:color w:val="auto"/>
          <w:sz w:val="32"/>
          <w:szCs w:val="32"/>
          <w:u w:val="none"/>
          <w:lang w:val="en-US" w:eastAsia="zh-CN"/>
        </w:rPr>
        <w:t>的监管方式转变。提升建筑垃圾治理常态化管控和精细化管理水平。</w:t>
      </w:r>
    </w:p>
    <w:p w14:paraId="577463DF">
      <w:pPr>
        <w:pStyle w:val="3"/>
        <w:pageBreakBefore w:val="0"/>
        <w:kinsoku/>
        <w:wordWrap/>
        <w:overflowPunct/>
        <w:topLinePunct w:val="0"/>
        <w:autoSpaceDE/>
        <w:autoSpaceDN/>
        <w:bidi w:val="0"/>
        <w:adjustRightInd/>
        <w:spacing w:beforeAutospacing="0" w:afterAutospacing="0" w:line="560" w:lineRule="exact"/>
        <w:ind w:left="0" w:leftChars="0"/>
        <w:textAlignment w:val="auto"/>
        <w:rPr>
          <w:rFonts w:hint="default" w:ascii="Times New Roman" w:hAnsi="Times New Roman" w:eastAsia="仿宋_GB2312" w:cs="Times New Roman"/>
          <w:color w:val="auto"/>
          <w:sz w:val="32"/>
          <w:szCs w:val="32"/>
          <w:u w:val="none"/>
          <w:lang w:val="en-US" w:eastAsia="zh-CN"/>
        </w:rPr>
      </w:pPr>
      <w:bookmarkStart w:id="87" w:name="_Toc3797"/>
      <w:bookmarkStart w:id="88" w:name="_Toc6927"/>
      <w:r>
        <w:rPr>
          <w:rFonts w:hint="eastAsia" w:ascii="Times New Roman" w:hAnsi="Times New Roman" w:eastAsia="仿宋_GB2312" w:cs="Times New Roman"/>
          <w:color w:val="auto"/>
          <w:sz w:val="32"/>
          <w:szCs w:val="32"/>
          <w:u w:val="none"/>
          <w:lang w:val="en-US" w:eastAsia="zh-CN"/>
        </w:rPr>
        <w:t xml:space="preserve">    </w:t>
      </w:r>
      <w:bookmarkStart w:id="89" w:name="_Toc5758"/>
      <w:bookmarkStart w:id="90" w:name="_Toc16671"/>
      <w:r>
        <w:rPr>
          <w:rFonts w:hint="eastAsia" w:ascii="楷体_GB2312" w:hAnsi="楷体_GB2312" w:eastAsia="楷体_GB2312" w:cs="楷体_GB2312"/>
          <w:b w:val="0"/>
          <w:bCs/>
          <w:color w:val="auto"/>
          <w:sz w:val="32"/>
          <w:szCs w:val="32"/>
          <w:u w:val="none"/>
          <w:lang w:val="en-US" w:eastAsia="zh-CN"/>
        </w:rPr>
        <w:t>（三）</w:t>
      </w:r>
      <w:r>
        <w:rPr>
          <w:rFonts w:hint="default" w:ascii="楷体_GB2312" w:hAnsi="楷体_GB2312" w:eastAsia="楷体_GB2312" w:cs="楷体_GB2312"/>
          <w:b w:val="0"/>
          <w:bCs/>
          <w:color w:val="auto"/>
          <w:sz w:val="32"/>
          <w:szCs w:val="32"/>
          <w:u w:val="none"/>
          <w:lang w:val="en-US" w:eastAsia="zh-CN"/>
        </w:rPr>
        <w:t>存量治理要求</w:t>
      </w:r>
      <w:bookmarkEnd w:id="87"/>
      <w:bookmarkEnd w:id="89"/>
      <w:bookmarkEnd w:id="90"/>
    </w:p>
    <w:p w14:paraId="1380BF2A">
      <w:pPr>
        <w:pageBreakBefore w:val="0"/>
        <w:kinsoku/>
        <w:wordWrap/>
        <w:overflowPunct/>
        <w:topLinePunct w:val="0"/>
        <w:autoSpaceDE/>
        <w:autoSpaceDN/>
        <w:bidi w:val="0"/>
        <w:adjustRightInd/>
        <w:spacing w:beforeAutospacing="0" w:afterAutospacing="0" w:line="560" w:lineRule="exact"/>
        <w:ind w:left="0" w:leftChars="0"/>
        <w:textAlignment w:val="auto"/>
        <w:rPr>
          <w:rFonts w:hint="eastAsia"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val="en-US" w:eastAsia="zh-CN"/>
        </w:rPr>
        <w:t>存量治理要结合地区实际，通过</w:t>
      </w:r>
      <w:r>
        <w:rPr>
          <w:rFonts w:hint="eastAsia" w:ascii="仿宋_GB2312" w:hAnsi="仿宋_GB2312" w:eastAsia="仿宋_GB2312" w:cs="仿宋_GB2312"/>
          <w:color w:val="auto"/>
          <w:sz w:val="32"/>
          <w:szCs w:val="32"/>
          <w:u w:val="none"/>
          <w:lang w:val="en-US" w:eastAsia="zh-CN"/>
        </w:rPr>
        <w:t>“</w:t>
      </w:r>
      <w:r>
        <w:rPr>
          <w:rFonts w:hint="default" w:ascii="Times New Roman" w:hAnsi="Times New Roman" w:eastAsia="仿宋_GB2312" w:cs="Times New Roman"/>
          <w:color w:val="auto"/>
          <w:sz w:val="32"/>
          <w:szCs w:val="32"/>
          <w:highlight w:val="none"/>
          <w:u w:val="none"/>
          <w:lang w:val="en-US" w:eastAsia="zh-CN"/>
        </w:rPr>
        <w:t>减存</w:t>
      </w:r>
      <w:r>
        <w:rPr>
          <w:rFonts w:hint="default" w:ascii="Times New Roman" w:hAnsi="Times New Roman" w:eastAsia="仿宋_GB2312" w:cs="Times New Roman"/>
          <w:color w:val="auto"/>
          <w:sz w:val="32"/>
          <w:szCs w:val="32"/>
          <w:u w:val="none"/>
          <w:lang w:val="en-US" w:eastAsia="zh-CN"/>
        </w:rPr>
        <w:t>量、控增量</w:t>
      </w:r>
      <w:r>
        <w:rPr>
          <w:rFonts w:hint="eastAsia" w:ascii="仿宋_GB2312" w:hAnsi="仿宋_GB2312" w:eastAsia="仿宋_GB2312" w:cs="仿宋_GB2312"/>
          <w:color w:val="auto"/>
          <w:sz w:val="32"/>
          <w:szCs w:val="32"/>
          <w:u w:val="none"/>
          <w:lang w:val="en-US" w:eastAsia="zh-CN"/>
        </w:rPr>
        <w:t>”</w:t>
      </w:r>
      <w:r>
        <w:rPr>
          <w:rFonts w:hint="default" w:ascii="Times New Roman" w:hAnsi="Times New Roman" w:eastAsia="仿宋_GB2312" w:cs="Times New Roman"/>
          <w:color w:val="auto"/>
          <w:sz w:val="32"/>
          <w:szCs w:val="32"/>
          <w:u w:val="none"/>
          <w:lang w:val="en-US" w:eastAsia="zh-CN"/>
        </w:rPr>
        <w:t>双管齐下，对市内存量建筑垃圾进行全面清理和规范管理，加强宣传教育和建立长效机制</w:t>
      </w:r>
      <w:r>
        <w:rPr>
          <w:rFonts w:hint="eastAsia" w:ascii="Times New Roman" w:hAnsi="Times New Roman" w:eastAsia="仿宋_GB2312" w:cs="Times New Roman"/>
          <w:color w:val="auto"/>
          <w:sz w:val="32"/>
          <w:szCs w:val="32"/>
          <w:u w:val="none"/>
          <w:lang w:val="en-US" w:eastAsia="zh-CN"/>
        </w:rPr>
        <w:t>：</w:t>
      </w:r>
    </w:p>
    <w:p w14:paraId="3C946531">
      <w:pPr>
        <w:pageBreakBefore w:val="0"/>
        <w:numPr>
          <w:ilvl w:val="0"/>
          <w:numId w:val="0"/>
        </w:numPr>
        <w:kinsoku/>
        <w:wordWrap/>
        <w:overflowPunct/>
        <w:topLinePunct w:val="0"/>
        <w:autoSpaceDE/>
        <w:autoSpaceDN/>
        <w:bidi w:val="0"/>
        <w:adjustRightInd/>
        <w:spacing w:beforeAutospacing="0" w:afterAutospacing="0" w:line="560" w:lineRule="exact"/>
        <w:ind w:firstLine="640" w:firstLineChars="200"/>
        <w:textAlignment w:val="auto"/>
        <w:rPr>
          <w:rFonts w:hint="default" w:ascii="Times New Roman" w:hAnsi="Times New Roman" w:eastAsia="仿宋_GB2312" w:cs="Times New Roman"/>
          <w:color w:val="auto"/>
          <w:sz w:val="32"/>
          <w:szCs w:val="32"/>
          <w:u w:val="none"/>
          <w:lang w:val="en-US" w:eastAsia="zh-CN"/>
        </w:rPr>
      </w:pPr>
      <w:r>
        <w:rPr>
          <w:rFonts w:hint="eastAsia" w:eastAsia="仿宋_GB2312" w:cs="Times New Roman"/>
          <w:color w:val="auto"/>
          <w:sz w:val="32"/>
          <w:szCs w:val="32"/>
          <w:u w:val="none"/>
          <w:lang w:val="en-US" w:eastAsia="zh-CN"/>
        </w:rPr>
        <w:t>（</w:t>
      </w:r>
      <w:r>
        <w:rPr>
          <w:rFonts w:hint="default" w:ascii="Times New Roman" w:hAnsi="Times New Roman" w:eastAsia="仿宋_GB2312" w:cs="Times New Roman"/>
          <w:color w:val="auto"/>
          <w:sz w:val="32"/>
          <w:szCs w:val="32"/>
          <w:u w:val="none"/>
          <w:lang w:val="en-US" w:eastAsia="zh-CN"/>
        </w:rPr>
        <w:t>1</w:t>
      </w:r>
      <w:r>
        <w:rPr>
          <w:rFonts w:hint="eastAsia" w:eastAsia="仿宋_GB2312" w:cs="Times New Roman"/>
          <w:color w:val="auto"/>
          <w:sz w:val="32"/>
          <w:szCs w:val="32"/>
          <w:u w:val="none"/>
          <w:lang w:val="en-US" w:eastAsia="zh-CN"/>
        </w:rPr>
        <w:t>）</w:t>
      </w:r>
      <w:r>
        <w:rPr>
          <w:rFonts w:hint="default" w:ascii="Times New Roman" w:hAnsi="Times New Roman" w:eastAsia="仿宋_GB2312" w:cs="Times New Roman"/>
          <w:color w:val="auto"/>
          <w:sz w:val="32"/>
          <w:szCs w:val="32"/>
          <w:u w:val="none"/>
          <w:lang w:val="en-US" w:eastAsia="zh-CN"/>
        </w:rPr>
        <w:t>加快对重点区域存量建筑垃圾摸排，采用网格</w:t>
      </w:r>
      <w:r>
        <w:rPr>
          <w:rFonts w:hint="eastAsia" w:ascii="Times New Roman" w:hAnsi="Times New Roman" w:eastAsia="仿宋_GB2312" w:cs="Times New Roman"/>
          <w:color w:val="auto"/>
          <w:sz w:val="32"/>
          <w:szCs w:val="32"/>
          <w:u w:val="none"/>
          <w:lang w:val="en-US" w:eastAsia="zh-CN"/>
        </w:rPr>
        <w:t>化</w:t>
      </w:r>
      <w:r>
        <w:rPr>
          <w:rFonts w:hint="default" w:ascii="Times New Roman" w:hAnsi="Times New Roman" w:eastAsia="仿宋_GB2312" w:cs="Times New Roman"/>
          <w:color w:val="auto"/>
          <w:sz w:val="32"/>
          <w:szCs w:val="32"/>
          <w:u w:val="none"/>
          <w:lang w:val="en-US" w:eastAsia="zh-CN"/>
        </w:rPr>
        <w:t>实地排查、卫星遥感等方式，对每处存量垃圾场进行编号登记入账，摸排工作结束后，形成存量建筑垃圾排查报告</w:t>
      </w:r>
      <w:r>
        <w:rPr>
          <w:rFonts w:hint="eastAsia" w:eastAsia="仿宋_GB2312" w:cs="Times New Roman"/>
          <w:color w:val="auto"/>
          <w:sz w:val="32"/>
          <w:szCs w:val="32"/>
          <w:u w:val="none"/>
          <w:lang w:val="en-US" w:eastAsia="zh-CN"/>
        </w:rPr>
        <w:t>。</w:t>
      </w:r>
    </w:p>
    <w:p w14:paraId="14332BAE">
      <w:pPr>
        <w:pageBreakBefore w:val="0"/>
        <w:numPr>
          <w:ilvl w:val="0"/>
          <w:numId w:val="0"/>
        </w:numPr>
        <w:kinsoku/>
        <w:wordWrap/>
        <w:overflowPunct/>
        <w:topLinePunct w:val="0"/>
        <w:autoSpaceDE/>
        <w:autoSpaceDN/>
        <w:bidi w:val="0"/>
        <w:adjustRightInd/>
        <w:spacing w:beforeAutospacing="0" w:afterAutospacing="0" w:line="560" w:lineRule="exact"/>
        <w:ind w:firstLine="640" w:firstLineChars="200"/>
        <w:textAlignment w:val="auto"/>
        <w:rPr>
          <w:rFonts w:hint="default" w:ascii="Times New Roman" w:hAnsi="Times New Roman" w:eastAsia="仿宋_GB2312" w:cs="Times New Roman"/>
          <w:color w:val="auto"/>
          <w:sz w:val="32"/>
          <w:szCs w:val="32"/>
          <w:u w:val="none"/>
          <w:lang w:val="en-US" w:eastAsia="zh-CN"/>
        </w:rPr>
      </w:pPr>
      <w:r>
        <w:rPr>
          <w:rFonts w:hint="eastAsia" w:eastAsia="仿宋_GB2312" w:cs="Times New Roman"/>
          <w:color w:val="auto"/>
          <w:sz w:val="32"/>
          <w:szCs w:val="32"/>
          <w:u w:val="none"/>
          <w:lang w:val="en-US" w:eastAsia="zh-CN"/>
        </w:rPr>
        <w:t>（</w:t>
      </w:r>
      <w:r>
        <w:rPr>
          <w:rFonts w:hint="default" w:ascii="Times New Roman" w:hAnsi="Times New Roman" w:eastAsia="仿宋_GB2312" w:cs="Times New Roman"/>
          <w:color w:val="auto"/>
          <w:sz w:val="32"/>
          <w:szCs w:val="32"/>
          <w:u w:val="none"/>
          <w:lang w:val="en-US" w:eastAsia="zh-CN"/>
        </w:rPr>
        <w:t>2</w:t>
      </w:r>
      <w:r>
        <w:rPr>
          <w:rFonts w:hint="eastAsia" w:eastAsia="仿宋_GB2312" w:cs="Times New Roman"/>
          <w:color w:val="auto"/>
          <w:sz w:val="32"/>
          <w:szCs w:val="32"/>
          <w:u w:val="none"/>
          <w:lang w:val="en-US" w:eastAsia="zh-CN"/>
        </w:rPr>
        <w:t>）</w:t>
      </w:r>
      <w:r>
        <w:rPr>
          <w:rFonts w:hint="default" w:ascii="Times New Roman" w:hAnsi="Times New Roman" w:eastAsia="仿宋_GB2312" w:cs="Times New Roman"/>
          <w:color w:val="auto"/>
          <w:sz w:val="32"/>
          <w:szCs w:val="32"/>
          <w:u w:val="none"/>
          <w:lang w:val="en-US" w:eastAsia="zh-CN"/>
        </w:rPr>
        <w:t>根据普查结果，结合发展需求等因素综合考虑，制定</w:t>
      </w:r>
      <w:r>
        <w:rPr>
          <w:rFonts w:hint="eastAsia" w:ascii="仿宋_GB2312" w:hAnsi="仿宋_GB2312" w:eastAsia="仿宋_GB2312" w:cs="仿宋_GB2312"/>
          <w:color w:val="auto"/>
          <w:sz w:val="32"/>
          <w:szCs w:val="32"/>
          <w:u w:val="none"/>
          <w:lang w:val="en-US" w:eastAsia="zh-CN"/>
        </w:rPr>
        <w:t>“</w:t>
      </w:r>
      <w:r>
        <w:rPr>
          <w:rFonts w:hint="default" w:ascii="Times New Roman" w:hAnsi="Times New Roman" w:eastAsia="仿宋_GB2312" w:cs="Times New Roman"/>
          <w:color w:val="auto"/>
          <w:sz w:val="32"/>
          <w:szCs w:val="32"/>
          <w:u w:val="none"/>
          <w:lang w:val="en-US" w:eastAsia="zh-CN"/>
        </w:rPr>
        <w:t>一场一策</w:t>
      </w:r>
      <w:r>
        <w:rPr>
          <w:rFonts w:hint="eastAsia" w:ascii="仿宋_GB2312" w:hAnsi="仿宋_GB2312" w:eastAsia="仿宋_GB2312" w:cs="仿宋_GB2312"/>
          <w:color w:val="auto"/>
          <w:sz w:val="32"/>
          <w:szCs w:val="32"/>
          <w:u w:val="none"/>
          <w:lang w:val="en-US" w:eastAsia="zh-CN"/>
        </w:rPr>
        <w:t>”</w:t>
      </w:r>
      <w:r>
        <w:rPr>
          <w:rFonts w:hint="eastAsia" w:ascii="Times New Roman" w:hAnsi="Times New Roman" w:eastAsia="仿宋_GB2312" w:cs="Times New Roman"/>
          <w:color w:val="auto"/>
          <w:sz w:val="32"/>
          <w:szCs w:val="32"/>
          <w:u w:val="none"/>
          <w:lang w:val="en-US" w:eastAsia="zh-CN"/>
        </w:rPr>
        <w:t>整改</w:t>
      </w:r>
      <w:r>
        <w:rPr>
          <w:rFonts w:hint="default" w:ascii="Times New Roman" w:hAnsi="Times New Roman" w:eastAsia="仿宋_GB2312" w:cs="Times New Roman"/>
          <w:color w:val="auto"/>
          <w:sz w:val="32"/>
          <w:szCs w:val="32"/>
          <w:u w:val="none"/>
          <w:lang w:val="en-US" w:eastAsia="zh-CN"/>
        </w:rPr>
        <w:t>工作方案，提出整改措施和整改期限</w:t>
      </w:r>
      <w:r>
        <w:rPr>
          <w:rFonts w:hint="eastAsia" w:eastAsia="仿宋_GB2312" w:cs="Times New Roman"/>
          <w:color w:val="auto"/>
          <w:sz w:val="32"/>
          <w:szCs w:val="32"/>
          <w:u w:val="none"/>
          <w:lang w:val="en-US" w:eastAsia="zh-CN"/>
        </w:rPr>
        <w:t>。</w:t>
      </w:r>
    </w:p>
    <w:p w14:paraId="6FBC50B4">
      <w:pPr>
        <w:pageBreakBefore w:val="0"/>
        <w:numPr>
          <w:ilvl w:val="0"/>
          <w:numId w:val="0"/>
        </w:numPr>
        <w:kinsoku/>
        <w:wordWrap/>
        <w:overflowPunct/>
        <w:topLinePunct w:val="0"/>
        <w:autoSpaceDE/>
        <w:autoSpaceDN/>
        <w:bidi w:val="0"/>
        <w:adjustRightInd/>
        <w:spacing w:beforeAutospacing="0" w:afterAutospacing="0" w:line="560" w:lineRule="exact"/>
        <w:ind w:firstLine="640" w:firstLineChars="200"/>
        <w:textAlignment w:val="auto"/>
        <w:rPr>
          <w:rFonts w:hint="default" w:ascii="Times New Roman" w:hAnsi="Times New Roman" w:eastAsia="仿宋_GB2312" w:cs="Times New Roman"/>
          <w:color w:val="auto"/>
          <w:sz w:val="32"/>
          <w:szCs w:val="32"/>
          <w:u w:val="none"/>
          <w:lang w:val="en-US" w:eastAsia="zh-CN"/>
        </w:rPr>
      </w:pPr>
      <w:r>
        <w:rPr>
          <w:rFonts w:hint="eastAsia" w:eastAsia="仿宋_GB2312" w:cs="Times New Roman"/>
          <w:color w:val="auto"/>
          <w:sz w:val="32"/>
          <w:szCs w:val="32"/>
          <w:u w:val="none"/>
          <w:lang w:val="en-US" w:eastAsia="zh-CN"/>
        </w:rPr>
        <w:t>（</w:t>
      </w:r>
      <w:r>
        <w:rPr>
          <w:rFonts w:hint="default" w:ascii="Times New Roman" w:hAnsi="Times New Roman" w:eastAsia="仿宋_GB2312" w:cs="Times New Roman"/>
          <w:color w:val="auto"/>
          <w:sz w:val="32"/>
          <w:szCs w:val="32"/>
          <w:u w:val="none"/>
          <w:lang w:val="en-US" w:eastAsia="zh-CN"/>
        </w:rPr>
        <w:t>3</w:t>
      </w:r>
      <w:r>
        <w:rPr>
          <w:rFonts w:hint="eastAsia" w:eastAsia="仿宋_GB2312" w:cs="Times New Roman"/>
          <w:color w:val="auto"/>
          <w:sz w:val="32"/>
          <w:szCs w:val="32"/>
          <w:u w:val="none"/>
          <w:lang w:val="en-US" w:eastAsia="zh-CN"/>
        </w:rPr>
        <w:t>）</w:t>
      </w:r>
      <w:r>
        <w:rPr>
          <w:rFonts w:hint="default" w:ascii="Times New Roman" w:hAnsi="Times New Roman" w:eastAsia="仿宋_GB2312" w:cs="Times New Roman"/>
          <w:color w:val="auto"/>
          <w:sz w:val="32"/>
          <w:szCs w:val="32"/>
          <w:u w:val="none"/>
          <w:lang w:val="en-US" w:eastAsia="zh-CN"/>
        </w:rPr>
        <w:t>严格控制增量，在产生环节督促建设单位落实建筑垃</w:t>
      </w:r>
      <w:r>
        <w:rPr>
          <w:rFonts w:hint="default" w:ascii="Times New Roman" w:hAnsi="Times New Roman" w:eastAsia="仿宋_GB2312" w:cs="Times New Roman"/>
          <w:color w:val="auto"/>
          <w:spacing w:val="6"/>
          <w:sz w:val="32"/>
          <w:szCs w:val="32"/>
          <w:u w:val="none"/>
          <w:lang w:val="en-US" w:eastAsia="zh-CN"/>
        </w:rPr>
        <w:t>圾减量化的首要责任，在运输环节督促运输单位按照指定的建筑垃圾运输路线密闭运输，坚决遏制非法运输倾倒建筑垃圾行为</w:t>
      </w:r>
      <w:r>
        <w:rPr>
          <w:rFonts w:hint="eastAsia" w:eastAsia="仿宋_GB2312" w:cs="Times New Roman"/>
          <w:color w:val="auto"/>
          <w:spacing w:val="6"/>
          <w:sz w:val="32"/>
          <w:szCs w:val="32"/>
          <w:u w:val="none"/>
          <w:lang w:val="en-US" w:eastAsia="zh-CN"/>
        </w:rPr>
        <w:t>。</w:t>
      </w:r>
    </w:p>
    <w:p w14:paraId="5E4379EB">
      <w:pPr>
        <w:pageBreakBefore w:val="0"/>
        <w:numPr>
          <w:ilvl w:val="0"/>
          <w:numId w:val="0"/>
        </w:numPr>
        <w:kinsoku/>
        <w:wordWrap/>
        <w:overflowPunct/>
        <w:topLinePunct w:val="0"/>
        <w:autoSpaceDE/>
        <w:autoSpaceDN/>
        <w:bidi w:val="0"/>
        <w:adjustRightInd/>
        <w:spacing w:beforeAutospacing="0" w:afterAutospacing="0" w:line="560" w:lineRule="exact"/>
        <w:ind w:firstLine="640" w:firstLineChars="200"/>
        <w:textAlignment w:val="auto"/>
        <w:rPr>
          <w:rFonts w:hint="default" w:ascii="Times New Roman" w:hAnsi="Times New Roman" w:eastAsia="仿宋_GB2312" w:cs="Times New Roman"/>
          <w:color w:val="auto"/>
          <w:sz w:val="32"/>
          <w:szCs w:val="32"/>
          <w:u w:val="none"/>
          <w:lang w:val="en-US" w:eastAsia="zh-CN"/>
        </w:rPr>
      </w:pPr>
      <w:r>
        <w:rPr>
          <w:rFonts w:hint="eastAsia" w:eastAsia="仿宋_GB2312" w:cs="Times New Roman"/>
          <w:color w:val="auto"/>
          <w:sz w:val="32"/>
          <w:szCs w:val="32"/>
          <w:u w:val="none"/>
          <w:lang w:val="en-US" w:eastAsia="zh-CN"/>
        </w:rPr>
        <w:t>（</w:t>
      </w:r>
      <w:r>
        <w:rPr>
          <w:rFonts w:hint="default" w:ascii="Times New Roman" w:hAnsi="Times New Roman" w:eastAsia="仿宋_GB2312" w:cs="Times New Roman"/>
          <w:color w:val="auto"/>
          <w:sz w:val="32"/>
          <w:szCs w:val="32"/>
          <w:u w:val="none"/>
          <w:lang w:val="en-US" w:eastAsia="zh-CN"/>
        </w:rPr>
        <w:t>4</w:t>
      </w:r>
      <w:r>
        <w:rPr>
          <w:rFonts w:hint="eastAsia" w:eastAsia="仿宋_GB2312" w:cs="Times New Roman"/>
          <w:color w:val="auto"/>
          <w:sz w:val="32"/>
          <w:szCs w:val="32"/>
          <w:u w:val="none"/>
          <w:lang w:val="en-US" w:eastAsia="zh-CN"/>
        </w:rPr>
        <w:t>）</w:t>
      </w:r>
      <w:r>
        <w:rPr>
          <w:rFonts w:hint="default" w:ascii="Times New Roman" w:hAnsi="Times New Roman" w:eastAsia="仿宋_GB2312" w:cs="Times New Roman"/>
          <w:color w:val="auto"/>
          <w:sz w:val="32"/>
          <w:szCs w:val="32"/>
          <w:u w:val="none"/>
          <w:lang w:val="en-US" w:eastAsia="zh-CN"/>
        </w:rPr>
        <w:t>大力推广信息化手段，推广智能化管理系统，对建筑垃圾的产生、运输、处置等全过程进行实时监控和数据分析，提高治理效率和准确性。</w:t>
      </w:r>
    </w:p>
    <w:p w14:paraId="3176D1EA">
      <w:pPr>
        <w:pageBreakBefore w:val="0"/>
        <w:numPr>
          <w:ilvl w:val="0"/>
          <w:numId w:val="0"/>
        </w:numPr>
        <w:kinsoku/>
        <w:wordWrap/>
        <w:overflowPunct/>
        <w:topLinePunct w:val="0"/>
        <w:autoSpaceDE/>
        <w:autoSpaceDN/>
        <w:bidi w:val="0"/>
        <w:adjustRightInd/>
        <w:spacing w:beforeAutospacing="0" w:afterAutospacing="0" w:line="560" w:lineRule="exact"/>
        <w:ind w:firstLine="640" w:firstLineChars="200"/>
        <w:textAlignment w:val="auto"/>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val="en-US" w:eastAsia="zh-CN"/>
        </w:rPr>
        <w:t>（5）采取有效的预防措施，最大限度地减少水土流失。同时，对已造成的水土流失，采取积极的治理措施，恢复生态环境。将水土保持与生态修复、景观建设相结合，实现经济效益、社会效益和生态效益的有机统一。</w:t>
      </w:r>
    </w:p>
    <w:p w14:paraId="5AC69375">
      <w:pPr>
        <w:pStyle w:val="3"/>
        <w:pageBreakBefore w:val="0"/>
        <w:kinsoku/>
        <w:wordWrap/>
        <w:overflowPunct/>
        <w:topLinePunct w:val="0"/>
        <w:autoSpaceDE/>
        <w:autoSpaceDN/>
        <w:bidi w:val="0"/>
        <w:adjustRightInd/>
        <w:spacing w:beforeAutospacing="0" w:afterAutospacing="0" w:line="560" w:lineRule="exact"/>
        <w:ind w:left="0" w:leftChars="0"/>
        <w:textAlignment w:val="auto"/>
        <w:rPr>
          <w:rFonts w:hint="eastAsia" w:ascii="楷体_GB2312" w:hAnsi="楷体_GB2312" w:eastAsia="楷体_GB2312" w:cs="楷体_GB2312"/>
          <w:b w:val="0"/>
          <w:bCs w:val="0"/>
          <w:color w:val="auto"/>
          <w:sz w:val="32"/>
          <w:szCs w:val="32"/>
          <w:u w:val="none"/>
          <w:lang w:val="en-US" w:eastAsia="zh-CN"/>
        </w:rPr>
      </w:pPr>
      <w:r>
        <w:rPr>
          <w:rFonts w:hint="eastAsia" w:ascii="Times New Roman" w:hAnsi="Times New Roman" w:eastAsia="仿宋_GB2312" w:cs="Times New Roman"/>
          <w:color w:val="auto"/>
          <w:sz w:val="32"/>
          <w:szCs w:val="32"/>
          <w:u w:val="none"/>
          <w:lang w:val="en-US" w:eastAsia="zh-CN"/>
        </w:rPr>
        <w:t xml:space="preserve">   </w:t>
      </w:r>
      <w:r>
        <w:rPr>
          <w:rFonts w:hint="eastAsia" w:ascii="楷体_GB2312" w:hAnsi="楷体_GB2312" w:eastAsia="楷体_GB2312" w:cs="楷体_GB2312"/>
          <w:b w:val="0"/>
          <w:bCs w:val="0"/>
          <w:color w:val="auto"/>
          <w:sz w:val="32"/>
          <w:szCs w:val="32"/>
          <w:u w:val="none"/>
          <w:lang w:val="en-US" w:eastAsia="zh-CN"/>
        </w:rPr>
        <w:t xml:space="preserve"> </w:t>
      </w:r>
      <w:bookmarkStart w:id="91" w:name="_Toc18532"/>
      <w:bookmarkStart w:id="92" w:name="_Toc7571"/>
      <w:r>
        <w:rPr>
          <w:rFonts w:hint="eastAsia" w:ascii="楷体_GB2312" w:hAnsi="楷体_GB2312" w:eastAsia="楷体_GB2312" w:cs="楷体_GB2312"/>
          <w:b w:val="0"/>
          <w:bCs w:val="0"/>
          <w:color w:val="auto"/>
          <w:sz w:val="32"/>
          <w:szCs w:val="32"/>
          <w:u w:val="none"/>
          <w:lang w:val="en-US" w:eastAsia="zh-CN"/>
        </w:rPr>
        <w:t>（四）存量治理计划</w:t>
      </w:r>
      <w:bookmarkEnd w:id="88"/>
      <w:bookmarkEnd w:id="91"/>
      <w:bookmarkEnd w:id="92"/>
    </w:p>
    <w:p w14:paraId="5099C9C5">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left="0" w:leftChars="0"/>
        <w:textAlignment w:val="auto"/>
        <w:rPr>
          <w:rFonts w:hint="default" w:ascii="Times New Roman" w:hAnsi="Times New Roman" w:eastAsia="仿宋_GB2312" w:cs="Times New Roman"/>
          <w:b w:val="0"/>
          <w:bCs w:val="0"/>
          <w:color w:val="auto"/>
          <w:sz w:val="32"/>
          <w:szCs w:val="32"/>
          <w:highlight w:val="none"/>
          <w:u w:val="none"/>
          <w:lang w:val="en-US" w:eastAsia="zh-CN"/>
        </w:rPr>
      </w:pPr>
      <w:r>
        <w:rPr>
          <w:rFonts w:hint="default" w:ascii="Times New Roman" w:hAnsi="Times New Roman" w:eastAsia="仿宋_GB2312" w:cs="Times New Roman"/>
          <w:b w:val="0"/>
          <w:bCs w:val="0"/>
          <w:color w:val="auto"/>
          <w:sz w:val="32"/>
          <w:szCs w:val="32"/>
          <w:u w:val="none"/>
          <w:lang w:val="en-US" w:eastAsia="zh-CN"/>
        </w:rPr>
        <w:t>针对</w:t>
      </w:r>
      <w:r>
        <w:rPr>
          <w:rFonts w:hint="default" w:ascii="Times New Roman" w:hAnsi="Times New Roman" w:eastAsia="仿宋_GB2312" w:cs="Times New Roman"/>
          <w:bCs/>
          <w:color w:val="auto"/>
          <w:sz w:val="32"/>
          <w:szCs w:val="32"/>
          <w:highlight w:val="none"/>
          <w:u w:val="none"/>
          <w:lang w:val="en-US" w:eastAsia="zh-CN"/>
        </w:rPr>
        <w:t>融安县</w:t>
      </w:r>
      <w:r>
        <w:rPr>
          <w:rFonts w:hint="default" w:ascii="Times New Roman" w:hAnsi="Times New Roman" w:eastAsia="仿宋_GB2312" w:cs="Times New Roman"/>
          <w:b w:val="0"/>
          <w:bCs w:val="0"/>
          <w:color w:val="auto"/>
          <w:sz w:val="32"/>
          <w:szCs w:val="32"/>
          <w:u w:val="none"/>
          <w:lang w:val="en-US" w:eastAsia="zh-CN"/>
        </w:rPr>
        <w:t>存在的存量建筑垃圾堆放过程中带来的环境及安全隐患。治理工作首先要全面梳理排查存量建</w:t>
      </w:r>
      <w:r>
        <w:rPr>
          <w:rFonts w:hint="default" w:ascii="Times New Roman" w:hAnsi="Times New Roman" w:eastAsia="仿宋_GB2312" w:cs="Times New Roman"/>
          <w:b w:val="0"/>
          <w:bCs w:val="0"/>
          <w:color w:val="auto"/>
          <w:sz w:val="32"/>
          <w:szCs w:val="32"/>
          <w:highlight w:val="none"/>
          <w:u w:val="none"/>
          <w:lang w:val="en-US" w:eastAsia="zh-CN"/>
        </w:rPr>
        <w:t>筑垃圾堆放情况，建立建筑垃圾堆放场所常态化监测机制，切实消除安全隐患。对不符合环保要求的现有消纳场所的存量建筑垃圾，要制定减量计划，安全转移至建筑垃圾资源化利用企业进行处理或用于其他资源化利用；对清理后剩余建筑垃圾残渣的堆放场地及符合环保要求的存量场地，要及时实施生态修复。</w:t>
      </w:r>
    </w:p>
    <w:p w14:paraId="0EA57DFB">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left="0" w:leftChars="0"/>
        <w:textAlignment w:val="auto"/>
        <w:rPr>
          <w:rFonts w:hint="default" w:ascii="Times New Roman" w:hAnsi="Times New Roman" w:eastAsia="仿宋_GB2312" w:cs="Times New Roman"/>
          <w:b w:val="0"/>
          <w:bCs w:val="0"/>
          <w:color w:val="auto"/>
          <w:sz w:val="32"/>
          <w:szCs w:val="32"/>
          <w:highlight w:val="none"/>
          <w:u w:val="none"/>
          <w:lang w:val="en-US" w:eastAsia="zh-CN"/>
        </w:rPr>
      </w:pPr>
      <w:r>
        <w:rPr>
          <w:rFonts w:hint="default" w:ascii="Times New Roman" w:hAnsi="Times New Roman" w:eastAsia="仿宋_GB2312" w:cs="Times New Roman"/>
          <w:b w:val="0"/>
          <w:bCs w:val="0"/>
          <w:color w:val="auto"/>
          <w:sz w:val="32"/>
          <w:szCs w:val="32"/>
          <w:highlight w:val="none"/>
          <w:u w:val="none"/>
          <w:lang w:val="en-US" w:eastAsia="zh-CN"/>
        </w:rPr>
        <w:t>1</w:t>
      </w:r>
      <w:r>
        <w:rPr>
          <w:rFonts w:hint="eastAsia" w:ascii="Times New Roman" w:hAnsi="Times New Roman" w:eastAsia="仿宋_GB2312" w:cs="Times New Roman"/>
          <w:b w:val="0"/>
          <w:bCs w:val="0"/>
          <w:color w:val="auto"/>
          <w:sz w:val="32"/>
          <w:szCs w:val="32"/>
          <w:highlight w:val="none"/>
          <w:u w:val="none"/>
          <w:lang w:val="en-US" w:eastAsia="zh-CN"/>
        </w:rPr>
        <w:t>．</w:t>
      </w:r>
      <w:r>
        <w:rPr>
          <w:rFonts w:hint="default" w:ascii="Times New Roman" w:hAnsi="Times New Roman" w:eastAsia="仿宋_GB2312" w:cs="Times New Roman"/>
          <w:b w:val="0"/>
          <w:bCs w:val="0"/>
          <w:color w:val="auto"/>
          <w:sz w:val="32"/>
          <w:szCs w:val="32"/>
          <w:highlight w:val="none"/>
          <w:u w:val="none"/>
          <w:lang w:val="en-US" w:eastAsia="zh-CN"/>
        </w:rPr>
        <w:t>摸底排查</w:t>
      </w:r>
    </w:p>
    <w:p w14:paraId="561A0575">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left="0" w:leftChars="0"/>
        <w:textAlignment w:val="auto"/>
        <w:rPr>
          <w:rFonts w:hint="default" w:ascii="Times New Roman" w:hAnsi="Times New Roman" w:eastAsia="仿宋_GB2312" w:cs="Times New Roman"/>
          <w:b w:val="0"/>
          <w:bCs w:val="0"/>
          <w:color w:val="auto"/>
          <w:sz w:val="32"/>
          <w:szCs w:val="32"/>
          <w:highlight w:val="none"/>
          <w:u w:val="none"/>
          <w:lang w:val="en-US" w:eastAsia="zh-CN"/>
        </w:rPr>
      </w:pPr>
      <w:r>
        <w:rPr>
          <w:rFonts w:hint="default" w:ascii="Times New Roman" w:hAnsi="Times New Roman" w:eastAsia="仿宋_GB2312" w:cs="Times New Roman"/>
          <w:b w:val="0"/>
          <w:bCs w:val="0"/>
          <w:color w:val="auto"/>
          <w:sz w:val="32"/>
          <w:szCs w:val="32"/>
          <w:highlight w:val="none"/>
          <w:u w:val="none"/>
          <w:lang w:val="en-US" w:eastAsia="zh-CN"/>
        </w:rPr>
        <w:t>按属地管理原则，全域开展地毯式排查，重点排查河道、湖泊、水库管理范围内，城乡结合部，交通道路沿线，耕地和永久基本农田、林地、湿地</w:t>
      </w:r>
      <w:r>
        <w:rPr>
          <w:rFonts w:hint="eastAsia" w:ascii="Times New Roman" w:hAnsi="Times New Roman" w:eastAsia="仿宋_GB2312" w:cs="Times New Roman"/>
          <w:b w:val="0"/>
          <w:bCs w:val="0"/>
          <w:color w:val="auto"/>
          <w:sz w:val="32"/>
          <w:szCs w:val="32"/>
          <w:highlight w:val="none"/>
          <w:u w:val="none"/>
          <w:lang w:val="en-US" w:eastAsia="zh-CN"/>
        </w:rPr>
        <w:t>、</w:t>
      </w:r>
      <w:r>
        <w:rPr>
          <w:rFonts w:hint="default" w:ascii="Times New Roman" w:hAnsi="Times New Roman" w:eastAsia="仿宋_GB2312" w:cs="Times New Roman"/>
          <w:b w:val="0"/>
          <w:bCs w:val="0"/>
          <w:color w:val="auto"/>
          <w:sz w:val="32"/>
          <w:szCs w:val="32"/>
          <w:highlight w:val="none"/>
          <w:u w:val="none"/>
          <w:lang w:val="en-US" w:eastAsia="zh-CN"/>
        </w:rPr>
        <w:t>生态保护红线和自然保护地等区域，建立建筑垃圾乱堆乱倒排查点位清单；根据排查点位位置、堆体规模、组分、周边环境、水文地质条件及侧向和底部渗透等情况，评估污染程度、风险等级，区分</w:t>
      </w:r>
      <w:r>
        <w:rPr>
          <w:rFonts w:hint="eastAsia" w:ascii="仿宋_GB2312" w:hAnsi="仿宋_GB2312" w:eastAsia="仿宋_GB2312" w:cs="仿宋_GB2312"/>
          <w:b w:val="0"/>
          <w:bCs w:val="0"/>
          <w:color w:val="auto"/>
          <w:sz w:val="32"/>
          <w:szCs w:val="32"/>
          <w:highlight w:val="none"/>
          <w:u w:val="none"/>
          <w:lang w:val="en-US" w:eastAsia="zh-CN"/>
        </w:rPr>
        <w:t>“</w:t>
      </w:r>
      <w:r>
        <w:rPr>
          <w:rFonts w:hint="default" w:ascii="Times New Roman" w:hAnsi="Times New Roman" w:eastAsia="仿宋_GB2312" w:cs="Times New Roman"/>
          <w:b w:val="0"/>
          <w:bCs w:val="0"/>
          <w:color w:val="auto"/>
          <w:sz w:val="32"/>
          <w:szCs w:val="32"/>
          <w:highlight w:val="none"/>
          <w:u w:val="none"/>
          <w:lang w:val="en-US" w:eastAsia="zh-CN"/>
        </w:rPr>
        <w:t>稳定</w:t>
      </w:r>
      <w:r>
        <w:rPr>
          <w:rFonts w:hint="eastAsia" w:ascii="仿宋_GB2312" w:hAnsi="仿宋_GB2312" w:eastAsia="仿宋_GB2312" w:cs="仿宋_GB2312"/>
          <w:b w:val="0"/>
          <w:bCs w:val="0"/>
          <w:color w:val="auto"/>
          <w:sz w:val="32"/>
          <w:szCs w:val="32"/>
          <w:highlight w:val="none"/>
          <w:u w:val="none"/>
          <w:lang w:val="en-US" w:eastAsia="zh-CN"/>
        </w:rPr>
        <w:t>”“</w:t>
      </w:r>
      <w:r>
        <w:rPr>
          <w:rFonts w:hint="default" w:ascii="Times New Roman" w:hAnsi="Times New Roman" w:eastAsia="仿宋_GB2312" w:cs="Times New Roman"/>
          <w:b w:val="0"/>
          <w:bCs w:val="0"/>
          <w:color w:val="auto"/>
          <w:sz w:val="32"/>
          <w:szCs w:val="32"/>
          <w:highlight w:val="none"/>
          <w:u w:val="none"/>
          <w:lang w:val="en-US" w:eastAsia="zh-CN"/>
        </w:rPr>
        <w:t>存在安全隐患</w:t>
      </w:r>
      <w:r>
        <w:rPr>
          <w:rFonts w:hint="eastAsia" w:ascii="仿宋_GB2312" w:hAnsi="仿宋_GB2312" w:eastAsia="仿宋_GB2312" w:cs="仿宋_GB2312"/>
          <w:b w:val="0"/>
          <w:bCs w:val="0"/>
          <w:color w:val="auto"/>
          <w:sz w:val="32"/>
          <w:szCs w:val="32"/>
          <w:highlight w:val="none"/>
          <w:u w:val="none"/>
          <w:lang w:val="en-US" w:eastAsia="zh-CN"/>
        </w:rPr>
        <w:t>”</w:t>
      </w:r>
      <w:r>
        <w:rPr>
          <w:rFonts w:hint="default" w:ascii="Times New Roman" w:hAnsi="Times New Roman" w:eastAsia="仿宋_GB2312" w:cs="Times New Roman"/>
          <w:b w:val="0"/>
          <w:bCs w:val="0"/>
          <w:color w:val="auto"/>
          <w:sz w:val="32"/>
          <w:szCs w:val="32"/>
          <w:highlight w:val="none"/>
          <w:u w:val="none"/>
          <w:lang w:val="en-US" w:eastAsia="zh-CN"/>
        </w:rPr>
        <w:t>两大类，建立问题鉴定清单。</w:t>
      </w:r>
    </w:p>
    <w:p w14:paraId="23867A88">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left="0" w:leftChars="0"/>
        <w:textAlignment w:val="auto"/>
        <w:rPr>
          <w:rFonts w:hint="default" w:ascii="Times New Roman" w:hAnsi="Times New Roman" w:eastAsia="仿宋_GB2312" w:cs="Times New Roman"/>
          <w:b w:val="0"/>
          <w:bCs w:val="0"/>
          <w:color w:val="auto"/>
          <w:sz w:val="32"/>
          <w:szCs w:val="32"/>
          <w:highlight w:val="none"/>
          <w:u w:val="none"/>
          <w:lang w:val="en-US" w:eastAsia="zh-CN"/>
        </w:rPr>
      </w:pPr>
      <w:r>
        <w:rPr>
          <w:rFonts w:hint="default" w:ascii="Times New Roman" w:hAnsi="Times New Roman" w:eastAsia="仿宋_GB2312" w:cs="Times New Roman"/>
          <w:b w:val="0"/>
          <w:bCs w:val="0"/>
          <w:color w:val="auto"/>
          <w:sz w:val="32"/>
          <w:szCs w:val="32"/>
          <w:highlight w:val="none"/>
          <w:u w:val="none"/>
          <w:lang w:val="en-US" w:eastAsia="zh-CN"/>
        </w:rPr>
        <w:t>2</w:t>
      </w:r>
      <w:r>
        <w:rPr>
          <w:rFonts w:hint="eastAsia" w:ascii="Times New Roman" w:hAnsi="Times New Roman" w:eastAsia="仿宋_GB2312" w:cs="Times New Roman"/>
          <w:b w:val="0"/>
          <w:bCs w:val="0"/>
          <w:color w:val="auto"/>
          <w:sz w:val="32"/>
          <w:szCs w:val="32"/>
          <w:highlight w:val="none"/>
          <w:u w:val="none"/>
          <w:lang w:val="en-US" w:eastAsia="zh-CN"/>
        </w:rPr>
        <w:t>．</w:t>
      </w:r>
      <w:r>
        <w:rPr>
          <w:rFonts w:hint="default" w:ascii="Times New Roman" w:hAnsi="Times New Roman" w:eastAsia="仿宋_GB2312" w:cs="Times New Roman"/>
          <w:b w:val="0"/>
          <w:bCs w:val="0"/>
          <w:color w:val="auto"/>
          <w:sz w:val="32"/>
          <w:szCs w:val="32"/>
          <w:highlight w:val="none"/>
          <w:u w:val="none"/>
          <w:lang w:val="en-US" w:eastAsia="zh-CN"/>
        </w:rPr>
        <w:t>全面治理</w:t>
      </w:r>
    </w:p>
    <w:p w14:paraId="003869C4">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left="0" w:leftChars="0" w:firstLine="640" w:firstLineChars="200"/>
        <w:textAlignment w:val="auto"/>
        <w:rPr>
          <w:rFonts w:hint="default" w:ascii="Times New Roman" w:hAnsi="Times New Roman" w:eastAsia="仿宋_GB2312" w:cs="Times New Roman"/>
          <w:b w:val="0"/>
          <w:bCs w:val="0"/>
          <w:color w:val="auto"/>
          <w:sz w:val="32"/>
          <w:szCs w:val="32"/>
          <w:highlight w:val="none"/>
          <w:u w:val="none"/>
          <w:lang w:val="en-US" w:eastAsia="zh-CN"/>
        </w:rPr>
      </w:pPr>
      <w:r>
        <w:rPr>
          <w:rFonts w:hint="default" w:ascii="Times New Roman" w:hAnsi="Times New Roman" w:eastAsia="仿宋_GB2312" w:cs="Times New Roman"/>
          <w:b w:val="0"/>
          <w:bCs w:val="0"/>
          <w:color w:val="auto"/>
          <w:sz w:val="32"/>
          <w:szCs w:val="32"/>
          <w:highlight w:val="none"/>
          <w:u w:val="none"/>
          <w:lang w:val="en-US" w:eastAsia="zh-CN"/>
        </w:rPr>
        <w:t>根据鉴定结果，一点一策制定整治方案，明确整治目标任务、具体措施、责任要求和进度安排，建立整治任务清单，分类施策；对不符合环保要求的现有消纳场所的存量建筑垃圾，要制定计划，采取措施，安全转移至建筑垃圾资源化利用企业进行处理或用于其他资源化利用，不能资源化利用部分应转移至正规消纳场堆填；对清理后剩余建筑垃圾残渣的堆放场地及不符合环保要求的存量场地，要及时实施生态修复。</w:t>
      </w:r>
    </w:p>
    <w:p w14:paraId="6BE37707">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left="0" w:leftChars="0"/>
        <w:textAlignment w:val="auto"/>
        <w:rPr>
          <w:rFonts w:hint="default" w:ascii="Times New Roman" w:hAnsi="Times New Roman" w:eastAsia="仿宋_GB2312" w:cs="Times New Roman"/>
          <w:b w:val="0"/>
          <w:bCs w:val="0"/>
          <w:color w:val="auto"/>
          <w:sz w:val="32"/>
          <w:szCs w:val="32"/>
          <w:highlight w:val="none"/>
          <w:u w:val="none"/>
          <w:lang w:val="en-US" w:eastAsia="zh-CN"/>
        </w:rPr>
      </w:pPr>
      <w:r>
        <w:rPr>
          <w:rFonts w:hint="default" w:ascii="Times New Roman" w:hAnsi="Times New Roman" w:eastAsia="仿宋_GB2312" w:cs="Times New Roman"/>
          <w:b w:val="0"/>
          <w:bCs w:val="0"/>
          <w:color w:val="auto"/>
          <w:sz w:val="32"/>
          <w:szCs w:val="32"/>
          <w:highlight w:val="none"/>
          <w:u w:val="none"/>
          <w:lang w:val="en-US" w:eastAsia="zh-CN"/>
        </w:rPr>
        <w:t>按照治理一处、核实一处、销号一处的要求，严格对标开展建筑垃圾治理成效复核和销号工作。各非正规垃圾堆放点位应限期全部完成治理。</w:t>
      </w:r>
    </w:p>
    <w:p w14:paraId="714A4B54">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left="0" w:leftChars="0"/>
        <w:textAlignment w:val="auto"/>
        <w:rPr>
          <w:rFonts w:hint="default" w:ascii="Times New Roman" w:hAnsi="Times New Roman" w:eastAsia="仿宋_GB2312" w:cs="Times New Roman"/>
          <w:b w:val="0"/>
          <w:bCs w:val="0"/>
          <w:color w:val="auto"/>
          <w:sz w:val="32"/>
          <w:szCs w:val="32"/>
          <w:highlight w:val="none"/>
          <w:u w:val="none"/>
          <w:lang w:val="en-US" w:eastAsia="zh-CN"/>
        </w:rPr>
      </w:pPr>
      <w:r>
        <w:rPr>
          <w:rFonts w:hint="default" w:ascii="Times New Roman" w:hAnsi="Times New Roman" w:eastAsia="仿宋_GB2312" w:cs="Times New Roman"/>
          <w:b w:val="0"/>
          <w:bCs w:val="0"/>
          <w:color w:val="auto"/>
          <w:sz w:val="32"/>
          <w:szCs w:val="32"/>
          <w:highlight w:val="none"/>
          <w:u w:val="none"/>
          <w:lang w:val="en-US" w:eastAsia="zh-CN"/>
        </w:rPr>
        <w:t>3</w:t>
      </w:r>
      <w:r>
        <w:rPr>
          <w:rFonts w:hint="eastAsia" w:ascii="Times New Roman" w:hAnsi="Times New Roman" w:eastAsia="仿宋_GB2312" w:cs="Times New Roman"/>
          <w:b w:val="0"/>
          <w:bCs w:val="0"/>
          <w:color w:val="auto"/>
          <w:sz w:val="32"/>
          <w:szCs w:val="32"/>
          <w:highlight w:val="none"/>
          <w:u w:val="none"/>
          <w:lang w:val="en-US" w:eastAsia="zh-CN"/>
        </w:rPr>
        <w:t>．</w:t>
      </w:r>
      <w:r>
        <w:rPr>
          <w:rFonts w:hint="default" w:ascii="Times New Roman" w:hAnsi="Times New Roman" w:eastAsia="仿宋_GB2312" w:cs="Times New Roman"/>
          <w:b w:val="0"/>
          <w:bCs w:val="0"/>
          <w:color w:val="auto"/>
          <w:sz w:val="32"/>
          <w:szCs w:val="32"/>
          <w:highlight w:val="none"/>
          <w:u w:val="none"/>
          <w:lang w:val="en-US" w:eastAsia="zh-CN"/>
        </w:rPr>
        <w:t>巩固提升</w:t>
      </w:r>
    </w:p>
    <w:p w14:paraId="0D983032">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left="0" w:leftChars="0"/>
        <w:textAlignment w:val="auto"/>
        <w:rPr>
          <w:rFonts w:hint="default" w:ascii="Times New Roman" w:hAnsi="Times New Roman" w:eastAsia="仿宋_GB2312" w:cs="Times New Roman"/>
          <w:b w:val="0"/>
          <w:bCs w:val="0"/>
          <w:color w:val="auto"/>
          <w:sz w:val="32"/>
          <w:szCs w:val="32"/>
          <w:highlight w:val="none"/>
          <w:u w:val="none"/>
          <w:lang w:val="en-US" w:eastAsia="zh-CN"/>
        </w:rPr>
      </w:pPr>
      <w:r>
        <w:rPr>
          <w:rFonts w:hint="default" w:ascii="Times New Roman" w:hAnsi="Times New Roman" w:eastAsia="仿宋_GB2312" w:cs="Times New Roman"/>
          <w:b w:val="0"/>
          <w:bCs w:val="0"/>
          <w:color w:val="auto"/>
          <w:sz w:val="32"/>
          <w:szCs w:val="32"/>
          <w:highlight w:val="none"/>
          <w:u w:val="none"/>
          <w:lang w:val="en-US" w:eastAsia="zh-CN"/>
        </w:rPr>
        <w:t>进一步细化部门职责分工，建立健全督察检查、联合执法机制，健全完善建筑垃圾长效管理</w:t>
      </w:r>
      <w:r>
        <w:rPr>
          <w:rFonts w:hint="eastAsia" w:ascii="仿宋_GB2312" w:hAnsi="仿宋_GB2312" w:eastAsia="仿宋_GB2312" w:cs="仿宋_GB2312"/>
          <w:b w:val="0"/>
          <w:bCs w:val="0"/>
          <w:color w:val="auto"/>
          <w:sz w:val="32"/>
          <w:szCs w:val="32"/>
          <w:highlight w:val="none"/>
          <w:u w:val="none"/>
          <w:lang w:val="en-US" w:eastAsia="zh-CN"/>
        </w:rPr>
        <w:t>“</w:t>
      </w:r>
      <w:r>
        <w:rPr>
          <w:rFonts w:hint="default" w:ascii="Times New Roman" w:hAnsi="Times New Roman" w:eastAsia="仿宋_GB2312" w:cs="Times New Roman"/>
          <w:b w:val="0"/>
          <w:bCs w:val="0"/>
          <w:color w:val="auto"/>
          <w:sz w:val="32"/>
          <w:szCs w:val="32"/>
          <w:highlight w:val="none"/>
          <w:u w:val="none"/>
          <w:lang w:val="en-US" w:eastAsia="zh-CN"/>
        </w:rPr>
        <w:t>四清一责任</w:t>
      </w:r>
      <w:r>
        <w:rPr>
          <w:rFonts w:hint="eastAsia" w:ascii="仿宋_GB2312" w:hAnsi="仿宋_GB2312" w:eastAsia="仿宋_GB2312" w:cs="仿宋_GB2312"/>
          <w:b w:val="0"/>
          <w:bCs w:val="0"/>
          <w:color w:val="auto"/>
          <w:sz w:val="32"/>
          <w:szCs w:val="32"/>
          <w:highlight w:val="none"/>
          <w:u w:val="none"/>
          <w:lang w:val="en-US" w:eastAsia="zh-CN"/>
        </w:rPr>
        <w:t>”</w:t>
      </w:r>
      <w:r>
        <w:rPr>
          <w:rFonts w:hint="default" w:ascii="Times New Roman" w:hAnsi="Times New Roman" w:eastAsia="仿宋_GB2312" w:cs="Times New Roman"/>
          <w:b w:val="0"/>
          <w:bCs w:val="0"/>
          <w:color w:val="auto"/>
          <w:sz w:val="32"/>
          <w:szCs w:val="32"/>
          <w:highlight w:val="none"/>
          <w:u w:val="none"/>
          <w:lang w:val="en-US" w:eastAsia="zh-CN"/>
        </w:rPr>
        <w:t>工作机制。</w:t>
      </w:r>
      <w:bookmarkStart w:id="93" w:name="_Toc7041"/>
    </w:p>
    <w:p w14:paraId="504EAFAB">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leftChars="0"/>
        <w:textAlignment w:val="auto"/>
        <w:outlineLvl w:val="0"/>
        <w:rPr>
          <w:rFonts w:hint="eastAsia" w:ascii="Times New Roman" w:hAnsi="Times New Roman" w:eastAsia="仿宋_GB2312" w:cs="Times New Roman"/>
          <w:b w:val="0"/>
          <w:bCs w:val="0"/>
          <w:color w:val="auto"/>
          <w:sz w:val="32"/>
          <w:szCs w:val="32"/>
          <w:highlight w:val="none"/>
          <w:u w:val="none"/>
          <w:lang w:val="en-US" w:eastAsia="zh-CN"/>
        </w:rPr>
      </w:pPr>
      <w:bookmarkStart w:id="94" w:name="_Toc7984"/>
      <w:r>
        <w:rPr>
          <w:rFonts w:hint="eastAsia" w:ascii="黑体" w:hAnsi="黑体" w:eastAsia="黑体" w:cs="黑体"/>
          <w:b w:val="0"/>
          <w:bCs w:val="0"/>
          <w:color w:val="auto"/>
          <w:sz w:val="32"/>
          <w:szCs w:val="32"/>
          <w:highlight w:val="none"/>
          <w:u w:val="none"/>
          <w:lang w:val="en-US" w:eastAsia="zh-CN"/>
        </w:rPr>
        <w:t>九、建筑垃圾产业发展规划</w:t>
      </w:r>
      <w:bookmarkEnd w:id="93"/>
      <w:bookmarkEnd w:id="94"/>
    </w:p>
    <w:p w14:paraId="4992017F">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leftChars="0"/>
        <w:textAlignment w:val="auto"/>
        <w:outlineLvl w:val="1"/>
        <w:rPr>
          <w:rFonts w:hint="eastAsia" w:ascii="Times New Roman" w:hAnsi="Times New Roman" w:eastAsia="仿宋_GB2312" w:cs="Times New Roman"/>
          <w:b w:val="0"/>
          <w:bCs w:val="0"/>
          <w:color w:val="auto"/>
          <w:sz w:val="32"/>
          <w:szCs w:val="32"/>
          <w:highlight w:val="none"/>
          <w:u w:val="none"/>
          <w:lang w:val="en-US" w:eastAsia="zh-CN"/>
        </w:rPr>
      </w:pPr>
      <w:bookmarkStart w:id="95" w:name="_Toc954"/>
      <w:bookmarkStart w:id="96" w:name="_Toc4321"/>
      <w:r>
        <w:rPr>
          <w:rFonts w:hint="eastAsia" w:ascii="楷体_GB2312" w:hAnsi="楷体_GB2312" w:eastAsia="楷体_GB2312" w:cs="楷体_GB2312"/>
          <w:b w:val="0"/>
          <w:bCs w:val="0"/>
          <w:color w:val="auto"/>
          <w:sz w:val="32"/>
          <w:szCs w:val="32"/>
          <w:highlight w:val="none"/>
          <w:u w:val="none"/>
          <w:lang w:val="en-US" w:eastAsia="zh-CN"/>
        </w:rPr>
        <w:t>（一）产业发展重点</w:t>
      </w:r>
      <w:bookmarkEnd w:id="95"/>
      <w:bookmarkEnd w:id="96"/>
    </w:p>
    <w:p w14:paraId="5DD8EFEF">
      <w:pPr>
        <w:pageBreakBefore w:val="0"/>
        <w:kinsoku/>
        <w:wordWrap/>
        <w:overflowPunct/>
        <w:topLinePunct w:val="0"/>
        <w:autoSpaceDE/>
        <w:autoSpaceDN/>
        <w:bidi w:val="0"/>
        <w:adjustRightInd/>
        <w:spacing w:beforeAutospacing="0" w:afterAutospacing="0" w:line="560" w:lineRule="exact"/>
        <w:ind w:left="0" w:leftChars="0"/>
        <w:textAlignment w:val="auto"/>
        <w:rPr>
          <w:rFonts w:hint="eastAsia" w:ascii="Times New Roman" w:hAnsi="Times New Roman" w:eastAsia="仿宋_GB2312" w:cs="Times New Roman"/>
          <w:b w:val="0"/>
          <w:bCs w:val="0"/>
          <w:color w:val="auto"/>
          <w:sz w:val="32"/>
          <w:szCs w:val="32"/>
          <w:highlight w:val="none"/>
          <w:u w:val="none"/>
          <w:lang w:val="en-US" w:eastAsia="zh-CN"/>
        </w:rPr>
      </w:pPr>
      <w:r>
        <w:rPr>
          <w:rFonts w:hint="eastAsia" w:ascii="Times New Roman" w:hAnsi="Times New Roman" w:eastAsia="仿宋_GB2312" w:cs="Times New Roman"/>
          <w:b w:val="0"/>
          <w:bCs w:val="0"/>
          <w:color w:val="auto"/>
          <w:sz w:val="32"/>
          <w:szCs w:val="32"/>
          <w:highlight w:val="none"/>
          <w:u w:val="none"/>
          <w:lang w:val="en-US" w:eastAsia="zh-CN"/>
        </w:rPr>
        <w:t>为推动建筑垃圾资源化利用产业的发展，重点从以下几个方面进行规划和落实：</w:t>
      </w:r>
    </w:p>
    <w:p w14:paraId="5ECC7680">
      <w:pPr>
        <w:pageBreakBefore w:val="0"/>
        <w:kinsoku/>
        <w:wordWrap/>
        <w:overflowPunct/>
        <w:topLinePunct w:val="0"/>
        <w:autoSpaceDE/>
        <w:autoSpaceDN/>
        <w:bidi w:val="0"/>
        <w:adjustRightInd/>
        <w:spacing w:beforeAutospacing="0" w:afterAutospacing="0" w:line="560" w:lineRule="exact"/>
        <w:ind w:left="0" w:leftChars="0"/>
        <w:textAlignment w:val="auto"/>
        <w:rPr>
          <w:rFonts w:hint="eastAsia" w:ascii="Times New Roman" w:hAnsi="Times New Roman" w:eastAsia="仿宋_GB2312" w:cs="Times New Roman"/>
          <w:b w:val="0"/>
          <w:bCs w:val="0"/>
          <w:color w:val="auto"/>
          <w:sz w:val="32"/>
          <w:szCs w:val="32"/>
          <w:highlight w:val="none"/>
          <w:u w:val="none"/>
          <w:lang w:val="en-US" w:eastAsia="zh-CN"/>
        </w:rPr>
      </w:pPr>
      <w:r>
        <w:rPr>
          <w:rFonts w:hint="default" w:ascii="Times New Roman" w:hAnsi="Times New Roman" w:eastAsia="仿宋_GB2312" w:cs="Times New Roman"/>
          <w:b w:val="0"/>
          <w:bCs w:val="0"/>
          <w:color w:val="auto"/>
          <w:sz w:val="32"/>
          <w:szCs w:val="32"/>
          <w:highlight w:val="none"/>
          <w:u w:val="none"/>
          <w:lang w:val="en-US" w:eastAsia="zh-CN"/>
        </w:rPr>
        <w:t>1</w:t>
      </w:r>
      <w:r>
        <w:rPr>
          <w:rFonts w:hint="eastAsia" w:eastAsia="仿宋_GB2312" w:cs="Times New Roman"/>
          <w:b w:val="0"/>
          <w:bCs w:val="0"/>
          <w:color w:val="auto"/>
          <w:sz w:val="32"/>
          <w:szCs w:val="32"/>
          <w:highlight w:val="none"/>
          <w:u w:val="none"/>
          <w:lang w:val="en-US" w:eastAsia="zh-CN"/>
        </w:rPr>
        <w:t>．</w:t>
      </w:r>
      <w:r>
        <w:rPr>
          <w:rFonts w:hint="eastAsia" w:ascii="Times New Roman" w:hAnsi="Times New Roman" w:eastAsia="仿宋_GB2312" w:cs="Times New Roman"/>
          <w:b w:val="0"/>
          <w:bCs w:val="0"/>
          <w:color w:val="auto"/>
          <w:sz w:val="32"/>
          <w:szCs w:val="32"/>
          <w:highlight w:val="none"/>
          <w:u w:val="none"/>
          <w:lang w:val="en-US" w:eastAsia="zh-CN"/>
        </w:rPr>
        <w:t>推进建筑垃圾处理设施建设</w:t>
      </w:r>
    </w:p>
    <w:p w14:paraId="265A8C78">
      <w:pPr>
        <w:pageBreakBefore w:val="0"/>
        <w:kinsoku/>
        <w:wordWrap/>
        <w:overflowPunct/>
        <w:topLinePunct w:val="0"/>
        <w:autoSpaceDE/>
        <w:autoSpaceDN/>
        <w:bidi w:val="0"/>
        <w:adjustRightInd/>
        <w:spacing w:beforeAutospacing="0" w:afterAutospacing="0" w:line="560" w:lineRule="exact"/>
        <w:ind w:left="0" w:leftChars="0"/>
        <w:textAlignment w:val="auto"/>
        <w:rPr>
          <w:rFonts w:hint="eastAsia" w:ascii="Times New Roman" w:hAnsi="Times New Roman" w:eastAsia="仿宋_GB2312" w:cs="Times New Roman"/>
          <w:b w:val="0"/>
          <w:bCs w:val="0"/>
          <w:color w:val="auto"/>
          <w:sz w:val="32"/>
          <w:szCs w:val="32"/>
          <w:highlight w:val="none"/>
          <w:u w:val="none"/>
          <w:lang w:val="en-US" w:eastAsia="zh-CN"/>
        </w:rPr>
      </w:pPr>
      <w:r>
        <w:rPr>
          <w:rFonts w:hint="eastAsia" w:ascii="Times New Roman" w:hAnsi="Times New Roman" w:eastAsia="仿宋_GB2312" w:cs="Times New Roman"/>
          <w:b w:val="0"/>
          <w:bCs w:val="0"/>
          <w:color w:val="auto"/>
          <w:sz w:val="32"/>
          <w:szCs w:val="32"/>
          <w:highlight w:val="none"/>
          <w:u w:val="none"/>
          <w:lang w:val="en-US" w:eastAsia="zh-CN"/>
        </w:rPr>
        <w:t>高度重视建筑垃圾处理设施建设，打造常态化、规范化的监管环境，落实县</w:t>
      </w:r>
      <w:r>
        <w:rPr>
          <w:rFonts w:hint="eastAsia" w:eastAsia="仿宋_GB2312" w:cs="Times New Roman"/>
          <w:b w:val="0"/>
          <w:bCs w:val="0"/>
          <w:color w:val="auto"/>
          <w:sz w:val="32"/>
          <w:szCs w:val="32"/>
          <w:highlight w:val="none"/>
          <w:u w:val="none"/>
          <w:lang w:val="en-US" w:eastAsia="zh-CN"/>
        </w:rPr>
        <w:t>人民</w:t>
      </w:r>
      <w:r>
        <w:rPr>
          <w:rFonts w:hint="eastAsia" w:ascii="Times New Roman" w:hAnsi="Times New Roman" w:eastAsia="仿宋_GB2312" w:cs="Times New Roman"/>
          <w:b w:val="0"/>
          <w:bCs w:val="0"/>
          <w:color w:val="auto"/>
          <w:sz w:val="32"/>
          <w:szCs w:val="32"/>
          <w:highlight w:val="none"/>
          <w:u w:val="none"/>
          <w:lang w:val="en-US" w:eastAsia="zh-CN"/>
        </w:rPr>
        <w:t>政府主体责任，加快消纳场所等设施建设进度。制定详细的工作方案和实施计划，明确各部门职责。</w:t>
      </w:r>
    </w:p>
    <w:p w14:paraId="7C843209">
      <w:pPr>
        <w:pageBreakBefore w:val="0"/>
        <w:kinsoku/>
        <w:wordWrap/>
        <w:overflowPunct/>
        <w:topLinePunct w:val="0"/>
        <w:autoSpaceDE/>
        <w:autoSpaceDN/>
        <w:bidi w:val="0"/>
        <w:adjustRightInd/>
        <w:spacing w:beforeAutospacing="0" w:afterAutospacing="0" w:line="560" w:lineRule="exact"/>
        <w:ind w:left="0" w:leftChars="0"/>
        <w:textAlignment w:val="auto"/>
        <w:rPr>
          <w:rFonts w:hint="eastAsia" w:ascii="Times New Roman" w:hAnsi="Times New Roman" w:eastAsia="仿宋_GB2312" w:cs="Times New Roman"/>
          <w:b w:val="0"/>
          <w:bCs w:val="0"/>
          <w:color w:val="auto"/>
          <w:sz w:val="32"/>
          <w:szCs w:val="32"/>
          <w:highlight w:val="none"/>
          <w:u w:val="none"/>
          <w:lang w:val="en-US" w:eastAsia="zh-CN"/>
        </w:rPr>
      </w:pPr>
      <w:r>
        <w:rPr>
          <w:rFonts w:hint="default" w:ascii="Times New Roman" w:hAnsi="Times New Roman" w:eastAsia="仿宋_GB2312" w:cs="Times New Roman"/>
          <w:b w:val="0"/>
          <w:bCs w:val="0"/>
          <w:color w:val="auto"/>
          <w:sz w:val="32"/>
          <w:szCs w:val="32"/>
          <w:highlight w:val="none"/>
          <w:u w:val="none"/>
          <w:lang w:val="en-US" w:eastAsia="zh-CN"/>
        </w:rPr>
        <w:t>2</w:t>
      </w:r>
      <w:r>
        <w:rPr>
          <w:rFonts w:hint="eastAsia" w:eastAsia="仿宋_GB2312" w:cs="Times New Roman"/>
          <w:b w:val="0"/>
          <w:bCs w:val="0"/>
          <w:color w:val="auto"/>
          <w:sz w:val="32"/>
          <w:szCs w:val="32"/>
          <w:highlight w:val="none"/>
          <w:u w:val="none"/>
          <w:lang w:val="en-US" w:eastAsia="zh-CN"/>
        </w:rPr>
        <w:t>．</w:t>
      </w:r>
      <w:r>
        <w:rPr>
          <w:rFonts w:hint="eastAsia" w:ascii="Times New Roman" w:hAnsi="Times New Roman" w:eastAsia="仿宋_GB2312" w:cs="Times New Roman"/>
          <w:b w:val="0"/>
          <w:bCs w:val="0"/>
          <w:color w:val="auto"/>
          <w:sz w:val="32"/>
          <w:szCs w:val="32"/>
          <w:highlight w:val="none"/>
          <w:u w:val="none"/>
          <w:lang w:val="en-US" w:eastAsia="zh-CN"/>
        </w:rPr>
        <w:t xml:space="preserve">培育市场主体和政策引导 </w:t>
      </w:r>
    </w:p>
    <w:p w14:paraId="7A7AEADB">
      <w:pPr>
        <w:pageBreakBefore w:val="0"/>
        <w:kinsoku/>
        <w:wordWrap/>
        <w:overflowPunct/>
        <w:topLinePunct w:val="0"/>
        <w:autoSpaceDE/>
        <w:autoSpaceDN/>
        <w:bidi w:val="0"/>
        <w:adjustRightInd/>
        <w:spacing w:beforeAutospacing="0" w:afterAutospacing="0" w:line="560" w:lineRule="exact"/>
        <w:ind w:left="0" w:leftChars="0"/>
        <w:textAlignment w:val="auto"/>
        <w:rPr>
          <w:rFonts w:hint="eastAsia" w:ascii="Times New Roman" w:hAnsi="Times New Roman" w:eastAsia="仿宋_GB2312" w:cs="Times New Roman"/>
          <w:b w:val="0"/>
          <w:bCs w:val="0"/>
          <w:color w:val="auto"/>
          <w:sz w:val="32"/>
          <w:szCs w:val="32"/>
          <w:highlight w:val="none"/>
          <w:u w:val="none"/>
          <w:lang w:val="en-US" w:eastAsia="zh-CN"/>
        </w:rPr>
      </w:pPr>
      <w:r>
        <w:rPr>
          <w:rFonts w:hint="eastAsia" w:ascii="Times New Roman" w:hAnsi="Times New Roman" w:eastAsia="仿宋_GB2312" w:cs="Times New Roman"/>
          <w:b w:val="0"/>
          <w:bCs w:val="0"/>
          <w:color w:val="auto"/>
          <w:sz w:val="32"/>
          <w:szCs w:val="32"/>
          <w:highlight w:val="none"/>
          <w:u w:val="none"/>
          <w:lang w:val="en-US" w:eastAsia="zh-CN"/>
        </w:rPr>
        <w:t>培育市场主体，鼓励自由竞争，确定建筑垃圾处置企业，保障项目用地，出台扶持政策。优先使用资源化产品，在政府投资项目中优先使用合格资源化产品，提升市场活力。</w:t>
      </w:r>
    </w:p>
    <w:p w14:paraId="065A831F">
      <w:pPr>
        <w:pageBreakBefore w:val="0"/>
        <w:kinsoku/>
        <w:wordWrap/>
        <w:overflowPunct/>
        <w:topLinePunct w:val="0"/>
        <w:autoSpaceDE/>
        <w:autoSpaceDN/>
        <w:bidi w:val="0"/>
        <w:adjustRightInd/>
        <w:spacing w:beforeAutospacing="0" w:afterAutospacing="0" w:line="560" w:lineRule="exact"/>
        <w:ind w:left="0" w:leftChars="0"/>
        <w:textAlignment w:val="auto"/>
        <w:rPr>
          <w:rFonts w:hint="eastAsia" w:ascii="Times New Roman" w:hAnsi="Times New Roman" w:eastAsia="仿宋_GB2312" w:cs="Times New Roman"/>
          <w:b w:val="0"/>
          <w:bCs w:val="0"/>
          <w:color w:val="auto"/>
          <w:sz w:val="32"/>
          <w:szCs w:val="32"/>
          <w:highlight w:val="none"/>
          <w:u w:val="none"/>
          <w:lang w:val="en-US" w:eastAsia="zh-CN"/>
        </w:rPr>
      </w:pPr>
      <w:r>
        <w:rPr>
          <w:rFonts w:hint="default" w:ascii="Times New Roman" w:hAnsi="Times New Roman" w:eastAsia="仿宋_GB2312" w:cs="Times New Roman"/>
          <w:b w:val="0"/>
          <w:bCs w:val="0"/>
          <w:color w:val="auto"/>
          <w:sz w:val="32"/>
          <w:szCs w:val="32"/>
          <w:highlight w:val="none"/>
          <w:u w:val="none"/>
          <w:lang w:val="en-US" w:eastAsia="zh-CN"/>
        </w:rPr>
        <w:t>3</w:t>
      </w:r>
      <w:r>
        <w:rPr>
          <w:rFonts w:hint="eastAsia" w:eastAsia="仿宋_GB2312" w:cs="Times New Roman"/>
          <w:b w:val="0"/>
          <w:bCs w:val="0"/>
          <w:color w:val="auto"/>
          <w:sz w:val="32"/>
          <w:szCs w:val="32"/>
          <w:highlight w:val="none"/>
          <w:u w:val="none"/>
          <w:lang w:val="en-US" w:eastAsia="zh-CN"/>
        </w:rPr>
        <w:t>．</w:t>
      </w:r>
      <w:r>
        <w:rPr>
          <w:rFonts w:hint="eastAsia" w:ascii="Times New Roman" w:hAnsi="Times New Roman" w:eastAsia="仿宋_GB2312" w:cs="Times New Roman"/>
          <w:b w:val="0"/>
          <w:bCs w:val="0"/>
          <w:color w:val="auto"/>
          <w:sz w:val="32"/>
          <w:szCs w:val="32"/>
          <w:highlight w:val="none"/>
          <w:u w:val="none"/>
          <w:lang w:val="en-US" w:eastAsia="zh-CN"/>
        </w:rPr>
        <w:t>以</w:t>
      </w:r>
      <w:r>
        <w:rPr>
          <w:rFonts w:hint="eastAsia" w:ascii="仿宋_GB2312" w:hAnsi="仿宋_GB2312" w:eastAsia="仿宋_GB2312" w:cs="仿宋_GB2312"/>
          <w:b w:val="0"/>
          <w:bCs w:val="0"/>
          <w:color w:val="auto"/>
          <w:sz w:val="32"/>
          <w:szCs w:val="32"/>
          <w:highlight w:val="none"/>
          <w:u w:val="none"/>
          <w:lang w:val="en-US" w:eastAsia="zh-CN"/>
        </w:rPr>
        <w:t>“</w:t>
      </w:r>
      <w:r>
        <w:rPr>
          <w:rFonts w:hint="eastAsia" w:ascii="Times New Roman" w:hAnsi="Times New Roman" w:eastAsia="仿宋_GB2312" w:cs="Times New Roman"/>
          <w:b w:val="0"/>
          <w:bCs w:val="0"/>
          <w:color w:val="auto"/>
          <w:sz w:val="32"/>
          <w:szCs w:val="32"/>
          <w:highlight w:val="none"/>
          <w:u w:val="none"/>
          <w:lang w:val="en-US" w:eastAsia="zh-CN"/>
        </w:rPr>
        <w:t>产学研</w:t>
      </w:r>
      <w:r>
        <w:rPr>
          <w:rFonts w:hint="eastAsia" w:ascii="仿宋_GB2312" w:hAnsi="仿宋_GB2312" w:eastAsia="仿宋_GB2312" w:cs="仿宋_GB2312"/>
          <w:b w:val="0"/>
          <w:bCs w:val="0"/>
          <w:color w:val="auto"/>
          <w:sz w:val="32"/>
          <w:szCs w:val="32"/>
          <w:highlight w:val="none"/>
          <w:u w:val="none"/>
          <w:lang w:val="en-US" w:eastAsia="zh-CN"/>
        </w:rPr>
        <w:t>”</w:t>
      </w:r>
      <w:r>
        <w:rPr>
          <w:rFonts w:hint="eastAsia" w:ascii="Times New Roman" w:hAnsi="Times New Roman" w:eastAsia="仿宋_GB2312" w:cs="Times New Roman"/>
          <w:b w:val="0"/>
          <w:bCs w:val="0"/>
          <w:color w:val="auto"/>
          <w:sz w:val="32"/>
          <w:szCs w:val="32"/>
          <w:highlight w:val="none"/>
          <w:u w:val="none"/>
          <w:lang w:val="en-US" w:eastAsia="zh-CN"/>
        </w:rPr>
        <w:t>为关键，提升技术工艺水平</w:t>
      </w:r>
    </w:p>
    <w:p w14:paraId="2D751629">
      <w:pPr>
        <w:pageBreakBefore w:val="0"/>
        <w:kinsoku/>
        <w:wordWrap/>
        <w:overflowPunct/>
        <w:topLinePunct w:val="0"/>
        <w:autoSpaceDE/>
        <w:autoSpaceDN/>
        <w:bidi w:val="0"/>
        <w:adjustRightInd/>
        <w:spacing w:beforeAutospacing="0" w:afterAutospacing="0" w:line="560" w:lineRule="exact"/>
        <w:ind w:left="0" w:leftChars="0"/>
        <w:textAlignment w:val="auto"/>
        <w:rPr>
          <w:rFonts w:hint="eastAsia" w:ascii="Times New Roman" w:hAnsi="Times New Roman" w:eastAsia="仿宋_GB2312" w:cs="Times New Roman"/>
          <w:b w:val="0"/>
          <w:bCs w:val="0"/>
          <w:color w:val="auto"/>
          <w:sz w:val="32"/>
          <w:szCs w:val="32"/>
          <w:highlight w:val="none"/>
          <w:u w:val="none"/>
          <w:lang w:val="en-US" w:eastAsia="zh-CN"/>
        </w:rPr>
      </w:pPr>
      <w:r>
        <w:rPr>
          <w:rFonts w:hint="eastAsia" w:ascii="Times New Roman" w:hAnsi="Times New Roman" w:eastAsia="仿宋_GB2312" w:cs="Times New Roman"/>
          <w:b w:val="0"/>
          <w:bCs w:val="0"/>
          <w:color w:val="auto"/>
          <w:sz w:val="32"/>
          <w:szCs w:val="32"/>
          <w:highlight w:val="none"/>
          <w:u w:val="none"/>
          <w:lang w:val="en-US" w:eastAsia="zh-CN"/>
        </w:rPr>
        <w:t>支持建筑垃圾资源再生利用企业或科研机构开展技术合作，开展建筑渣土改良应用、再生骨料强化技术、再生细粉料活化技术等研发，加快推进建筑垃圾资源化利用工艺和产品规范化、标准化。支持建筑垃圾资源化利用企业引进先进工艺，加强技术攻关，致力研发生产再生骨料、再生免烧砖、预制构件、水稳材料或路基回填材料等高性价比产品。</w:t>
      </w:r>
    </w:p>
    <w:p w14:paraId="032BCCB8">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leftChars="0"/>
        <w:textAlignment w:val="auto"/>
        <w:outlineLvl w:val="1"/>
        <w:rPr>
          <w:rFonts w:hint="eastAsia" w:ascii="Times New Roman" w:hAnsi="Times New Roman" w:eastAsia="仿宋_GB2312" w:cs="Times New Roman"/>
          <w:b w:val="0"/>
          <w:bCs w:val="0"/>
          <w:color w:val="auto"/>
          <w:sz w:val="32"/>
          <w:szCs w:val="32"/>
          <w:highlight w:val="none"/>
          <w:u w:val="none"/>
          <w:lang w:val="en-US" w:eastAsia="zh-CN"/>
        </w:rPr>
      </w:pPr>
      <w:bookmarkStart w:id="97" w:name="_Toc26086"/>
      <w:r>
        <w:rPr>
          <w:rFonts w:hint="eastAsia" w:ascii="楷体_GB2312" w:hAnsi="楷体_GB2312" w:eastAsia="楷体_GB2312" w:cs="楷体_GB2312"/>
          <w:b w:val="0"/>
          <w:bCs w:val="0"/>
          <w:color w:val="auto"/>
          <w:sz w:val="32"/>
          <w:szCs w:val="32"/>
          <w:highlight w:val="none"/>
          <w:u w:val="none"/>
          <w:lang w:val="en-US" w:eastAsia="zh-CN"/>
        </w:rPr>
        <w:t>（二）产品质量管控</w:t>
      </w:r>
      <w:bookmarkEnd w:id="97"/>
    </w:p>
    <w:p w14:paraId="1F96186B">
      <w:pPr>
        <w:pageBreakBefore w:val="0"/>
        <w:kinsoku/>
        <w:wordWrap/>
        <w:overflowPunct/>
        <w:topLinePunct w:val="0"/>
        <w:autoSpaceDE/>
        <w:autoSpaceDN/>
        <w:bidi w:val="0"/>
        <w:adjustRightInd/>
        <w:spacing w:beforeAutospacing="0" w:afterAutospacing="0" w:line="560" w:lineRule="exact"/>
        <w:ind w:left="0" w:leftChars="0"/>
        <w:textAlignment w:val="auto"/>
        <w:rPr>
          <w:rFonts w:hint="eastAsia" w:ascii="Times New Roman" w:hAnsi="Times New Roman" w:eastAsia="仿宋_GB2312" w:cs="Times New Roman"/>
          <w:b w:val="0"/>
          <w:bCs w:val="0"/>
          <w:color w:val="auto"/>
          <w:sz w:val="32"/>
          <w:szCs w:val="32"/>
          <w:highlight w:val="none"/>
          <w:u w:val="none"/>
          <w:lang w:val="en-US" w:eastAsia="zh-CN"/>
        </w:rPr>
      </w:pPr>
      <w:r>
        <w:rPr>
          <w:rFonts w:hint="eastAsia" w:ascii="Times New Roman" w:hAnsi="Times New Roman" w:eastAsia="仿宋_GB2312" w:cs="Times New Roman"/>
          <w:b w:val="0"/>
          <w:bCs w:val="0"/>
          <w:color w:val="auto"/>
          <w:sz w:val="32"/>
          <w:szCs w:val="32"/>
          <w:highlight w:val="none"/>
          <w:u w:val="none"/>
          <w:lang w:val="en-US" w:eastAsia="zh-CN"/>
        </w:rPr>
        <w:t>实施综合利用产品质量标准。加强建筑垃圾综合利用产品质量标准体系建设，企业生产的再生产品须严格遵循《混凝土和砂浆用再生细骨料》等国家标准，确保产品质量达到行业与地方规定，满足市场需求。针对使用再生骨料的企业，依据原材料检测标准，进行质量和应用性能检测，并在产品供应时提供详尽的鉴定检验报告和质量证明文件。</w:t>
      </w:r>
    </w:p>
    <w:p w14:paraId="594D9CA1">
      <w:pPr>
        <w:pageBreakBefore w:val="0"/>
        <w:kinsoku/>
        <w:wordWrap/>
        <w:overflowPunct/>
        <w:topLinePunct w:val="0"/>
        <w:autoSpaceDE/>
        <w:autoSpaceDN/>
        <w:bidi w:val="0"/>
        <w:adjustRightInd/>
        <w:spacing w:beforeAutospacing="0" w:afterAutospacing="0" w:line="560" w:lineRule="exact"/>
        <w:ind w:left="0" w:leftChars="0"/>
        <w:textAlignment w:val="auto"/>
        <w:rPr>
          <w:rFonts w:hint="eastAsia" w:ascii="Times New Roman" w:hAnsi="Times New Roman" w:eastAsia="仿宋_GB2312" w:cs="Times New Roman"/>
          <w:b w:val="0"/>
          <w:bCs w:val="0"/>
          <w:color w:val="auto"/>
          <w:sz w:val="32"/>
          <w:szCs w:val="32"/>
          <w:highlight w:val="none"/>
          <w:u w:val="none"/>
          <w:lang w:val="en-US" w:eastAsia="zh-CN"/>
        </w:rPr>
      </w:pPr>
      <w:r>
        <w:rPr>
          <w:rFonts w:hint="eastAsia" w:ascii="Times New Roman" w:hAnsi="Times New Roman" w:eastAsia="仿宋_GB2312" w:cs="Times New Roman"/>
          <w:b w:val="0"/>
          <w:bCs w:val="0"/>
          <w:color w:val="auto"/>
          <w:sz w:val="32"/>
          <w:szCs w:val="32"/>
          <w:highlight w:val="none"/>
          <w:u w:val="none"/>
          <w:lang w:val="en-US" w:eastAsia="zh-CN"/>
        </w:rPr>
        <w:t>建立产品质量检验管理制度。构建建筑垃圾资源化利用企业的质量管理体系，全面记录生产、检验信息，包括原材料使用、工艺参数和产品应用等，确保生产记录可追溯，保障产品质量。</w:t>
      </w:r>
    </w:p>
    <w:p w14:paraId="55697D33">
      <w:pPr>
        <w:pageBreakBefore w:val="0"/>
        <w:kinsoku/>
        <w:wordWrap/>
        <w:overflowPunct/>
        <w:topLinePunct w:val="0"/>
        <w:autoSpaceDE/>
        <w:autoSpaceDN/>
        <w:bidi w:val="0"/>
        <w:adjustRightInd/>
        <w:spacing w:beforeAutospacing="0" w:afterAutospacing="0" w:line="560" w:lineRule="exact"/>
        <w:ind w:left="0" w:leftChars="0"/>
        <w:textAlignment w:val="auto"/>
        <w:rPr>
          <w:rFonts w:hint="eastAsia" w:ascii="Times New Roman" w:hAnsi="Times New Roman" w:eastAsia="仿宋_GB2312" w:cs="Times New Roman"/>
          <w:b w:val="0"/>
          <w:bCs w:val="0"/>
          <w:color w:val="auto"/>
          <w:sz w:val="32"/>
          <w:szCs w:val="32"/>
          <w:highlight w:val="none"/>
          <w:u w:val="none"/>
          <w:lang w:val="en-US" w:eastAsia="zh-CN"/>
        </w:rPr>
      </w:pPr>
      <w:r>
        <w:rPr>
          <w:rFonts w:hint="eastAsia" w:ascii="Times New Roman" w:hAnsi="Times New Roman" w:eastAsia="仿宋_GB2312" w:cs="Times New Roman"/>
          <w:b w:val="0"/>
          <w:bCs w:val="0"/>
          <w:color w:val="auto"/>
          <w:sz w:val="32"/>
          <w:szCs w:val="32"/>
          <w:highlight w:val="none"/>
          <w:u w:val="none"/>
          <w:lang w:val="en-US" w:eastAsia="zh-CN"/>
        </w:rPr>
        <w:t>提升产品竞争力。鼓励建筑垃圾资源化利用企业根据市场需求，研发适销对路的建筑垃圾资源化利用再生产品，合理确定产品价格，建立完善资源化利用再生产品售后服务体系，不断提升资源化利用再生产品的竞争力。</w:t>
      </w:r>
    </w:p>
    <w:p w14:paraId="050B02C0">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leftChars="0"/>
        <w:textAlignment w:val="auto"/>
        <w:outlineLvl w:val="1"/>
        <w:rPr>
          <w:rFonts w:hint="eastAsia" w:ascii="Times New Roman" w:hAnsi="Times New Roman" w:eastAsia="仿宋_GB2312" w:cs="Times New Roman"/>
          <w:b w:val="0"/>
          <w:bCs w:val="0"/>
          <w:color w:val="auto"/>
          <w:sz w:val="32"/>
          <w:szCs w:val="32"/>
          <w:highlight w:val="none"/>
          <w:u w:val="none"/>
          <w:lang w:val="en-US" w:eastAsia="zh-CN"/>
        </w:rPr>
      </w:pPr>
      <w:bookmarkStart w:id="98" w:name="_Toc7966"/>
      <w:bookmarkStart w:id="99" w:name="_Toc32636"/>
      <w:r>
        <w:rPr>
          <w:rFonts w:hint="eastAsia" w:ascii="楷体_GB2312" w:hAnsi="楷体_GB2312" w:eastAsia="楷体_GB2312" w:cs="楷体_GB2312"/>
          <w:b w:val="0"/>
          <w:bCs w:val="0"/>
          <w:color w:val="auto"/>
          <w:sz w:val="32"/>
          <w:szCs w:val="32"/>
          <w:highlight w:val="none"/>
          <w:u w:val="none"/>
          <w:lang w:val="en-US" w:eastAsia="zh-CN"/>
        </w:rPr>
        <w:t>（三）产业支持策略</w:t>
      </w:r>
      <w:bookmarkEnd w:id="98"/>
      <w:bookmarkEnd w:id="99"/>
    </w:p>
    <w:p w14:paraId="69814359">
      <w:pPr>
        <w:pageBreakBefore w:val="0"/>
        <w:kinsoku/>
        <w:wordWrap/>
        <w:overflowPunct/>
        <w:topLinePunct w:val="0"/>
        <w:autoSpaceDE/>
        <w:autoSpaceDN/>
        <w:bidi w:val="0"/>
        <w:adjustRightInd/>
        <w:spacing w:beforeAutospacing="0" w:afterAutospacing="0" w:line="560" w:lineRule="exact"/>
        <w:ind w:left="0" w:leftChars="0"/>
        <w:textAlignment w:val="auto"/>
        <w:rPr>
          <w:rFonts w:hint="eastAsia" w:ascii="Times New Roman" w:hAnsi="Times New Roman" w:eastAsia="仿宋_GB2312" w:cs="Times New Roman"/>
          <w:b w:val="0"/>
          <w:bCs w:val="0"/>
          <w:color w:val="auto"/>
          <w:sz w:val="32"/>
          <w:szCs w:val="32"/>
          <w:highlight w:val="none"/>
          <w:u w:val="none"/>
          <w:lang w:val="en-US" w:eastAsia="zh-CN"/>
        </w:rPr>
      </w:pPr>
      <w:r>
        <w:rPr>
          <w:rFonts w:hint="eastAsia" w:ascii="Times New Roman" w:hAnsi="Times New Roman" w:eastAsia="仿宋_GB2312" w:cs="Times New Roman"/>
          <w:b w:val="0"/>
          <w:bCs w:val="0"/>
          <w:color w:val="auto"/>
          <w:sz w:val="32"/>
          <w:szCs w:val="32"/>
          <w:highlight w:val="none"/>
          <w:u w:val="none"/>
          <w:lang w:val="en-US" w:eastAsia="zh-CN"/>
        </w:rPr>
        <w:t>持续强化科技创新。积极引进新技术、新工艺、新材料、新设备开展建筑垃圾资源化利用活动，扩大建筑垃圾综合利用产品应用范围和提升再生产品附加值，提高产品市场竞争力。</w:t>
      </w:r>
    </w:p>
    <w:p w14:paraId="48A3FFC5">
      <w:pPr>
        <w:pageBreakBefore w:val="0"/>
        <w:kinsoku/>
        <w:wordWrap/>
        <w:overflowPunct/>
        <w:topLinePunct w:val="0"/>
        <w:autoSpaceDE/>
        <w:autoSpaceDN/>
        <w:bidi w:val="0"/>
        <w:adjustRightInd/>
        <w:spacing w:beforeAutospacing="0" w:afterAutospacing="0" w:line="560" w:lineRule="exact"/>
        <w:ind w:left="0" w:leftChars="0"/>
        <w:textAlignment w:val="auto"/>
        <w:rPr>
          <w:rFonts w:hint="eastAsia" w:ascii="Times New Roman" w:hAnsi="Times New Roman" w:eastAsia="仿宋_GB2312" w:cs="Times New Roman"/>
          <w:b w:val="0"/>
          <w:bCs w:val="0"/>
          <w:color w:val="auto"/>
          <w:sz w:val="32"/>
          <w:szCs w:val="32"/>
          <w:highlight w:val="none"/>
          <w:u w:val="none"/>
          <w:lang w:val="en-US" w:eastAsia="zh-CN"/>
        </w:rPr>
      </w:pPr>
      <w:r>
        <w:rPr>
          <w:rFonts w:hint="eastAsia" w:ascii="Times New Roman" w:hAnsi="Times New Roman" w:eastAsia="仿宋_GB2312" w:cs="Times New Roman"/>
          <w:b w:val="0"/>
          <w:bCs w:val="0"/>
          <w:color w:val="auto"/>
          <w:sz w:val="32"/>
          <w:szCs w:val="32"/>
          <w:highlight w:val="none"/>
          <w:u w:val="none"/>
          <w:lang w:val="en-US" w:eastAsia="zh-CN"/>
        </w:rPr>
        <w:t>拓展直接利用渠道。因建设、维护、堆坡造景、废弃矿坑和采矿塌陷地治理、破损山体恢复等需要对外接收建筑垃圾回填使用的，在符合生态环境保护要求和有关规划、实施方案的前提下，应当持用地证明和单位证明，到环境卫生行政主管部门进行预约登记。</w:t>
      </w:r>
    </w:p>
    <w:p w14:paraId="6F71A349">
      <w:pPr>
        <w:pageBreakBefore w:val="0"/>
        <w:kinsoku/>
        <w:wordWrap/>
        <w:overflowPunct/>
        <w:topLinePunct w:val="0"/>
        <w:autoSpaceDE/>
        <w:autoSpaceDN/>
        <w:bidi w:val="0"/>
        <w:adjustRightInd/>
        <w:spacing w:beforeAutospacing="0" w:afterAutospacing="0" w:line="560" w:lineRule="exact"/>
        <w:ind w:left="0" w:leftChars="0"/>
        <w:textAlignment w:val="auto"/>
        <w:rPr>
          <w:rFonts w:hint="eastAsia" w:ascii="Times New Roman" w:hAnsi="Times New Roman" w:eastAsia="仿宋_GB2312" w:cs="Times New Roman"/>
          <w:b w:val="0"/>
          <w:bCs w:val="0"/>
          <w:color w:val="auto"/>
          <w:sz w:val="32"/>
          <w:szCs w:val="32"/>
          <w:highlight w:val="none"/>
          <w:u w:val="none"/>
          <w:lang w:val="en-US" w:eastAsia="zh-CN"/>
        </w:rPr>
      </w:pPr>
      <w:r>
        <w:rPr>
          <w:rFonts w:hint="eastAsia" w:ascii="Times New Roman" w:hAnsi="Times New Roman" w:eastAsia="仿宋_GB2312" w:cs="Times New Roman"/>
          <w:b w:val="0"/>
          <w:bCs w:val="0"/>
          <w:color w:val="auto"/>
          <w:sz w:val="32"/>
          <w:szCs w:val="32"/>
          <w:highlight w:val="none"/>
          <w:u w:val="none"/>
          <w:lang w:val="en-US" w:eastAsia="zh-CN"/>
        </w:rPr>
        <w:t>推进再生产品应用。为促进建筑垃圾资源化利用，给予建筑垃圾再利用企业一定的政策扶持，落实建筑垃圾再生利用产品优先政策。政府公共设施建设或市政动迁项目优先采用再生砖等产品，</w:t>
      </w:r>
      <w:r>
        <w:rPr>
          <w:rFonts w:hint="eastAsia" w:eastAsia="仿宋_GB2312" w:cs="Times New Roman"/>
          <w:b w:val="0"/>
          <w:bCs w:val="0"/>
          <w:color w:val="auto"/>
          <w:sz w:val="32"/>
          <w:szCs w:val="32"/>
          <w:highlight w:val="none"/>
          <w:u w:val="none"/>
          <w:lang w:val="en-US" w:eastAsia="zh-CN"/>
        </w:rPr>
        <w:t>建筑</w:t>
      </w:r>
      <w:r>
        <w:rPr>
          <w:rFonts w:hint="eastAsia" w:ascii="Times New Roman" w:hAnsi="Times New Roman" w:eastAsia="仿宋_GB2312" w:cs="Times New Roman"/>
          <w:b w:val="0"/>
          <w:bCs w:val="0"/>
          <w:color w:val="auto"/>
          <w:sz w:val="32"/>
          <w:szCs w:val="32"/>
          <w:highlight w:val="none"/>
          <w:u w:val="none"/>
          <w:lang w:val="en-US" w:eastAsia="zh-CN"/>
        </w:rPr>
        <w:t>施工单位使用建筑垃圾制砖产品可按照数量减免建筑垃圾处置费。</w:t>
      </w:r>
    </w:p>
    <w:p w14:paraId="14314535">
      <w:pPr>
        <w:pageBreakBefore w:val="0"/>
        <w:kinsoku/>
        <w:wordWrap/>
        <w:overflowPunct/>
        <w:topLinePunct w:val="0"/>
        <w:autoSpaceDE/>
        <w:autoSpaceDN/>
        <w:bidi w:val="0"/>
        <w:adjustRightInd/>
        <w:spacing w:beforeAutospacing="0" w:afterAutospacing="0" w:line="560" w:lineRule="exact"/>
        <w:ind w:left="0" w:leftChars="0"/>
        <w:textAlignment w:val="auto"/>
        <w:rPr>
          <w:rFonts w:hint="eastAsia" w:ascii="Times New Roman" w:hAnsi="Times New Roman" w:eastAsia="仿宋_GB2312" w:cs="Times New Roman"/>
          <w:b w:val="0"/>
          <w:bCs w:val="0"/>
          <w:color w:val="auto"/>
          <w:sz w:val="32"/>
          <w:szCs w:val="32"/>
          <w:highlight w:val="none"/>
          <w:u w:val="none"/>
          <w:lang w:val="en-US" w:eastAsia="zh-CN"/>
        </w:rPr>
      </w:pPr>
      <w:r>
        <w:rPr>
          <w:rFonts w:hint="eastAsia" w:ascii="Times New Roman" w:hAnsi="Times New Roman" w:eastAsia="仿宋_GB2312" w:cs="Times New Roman"/>
          <w:b w:val="0"/>
          <w:bCs w:val="0"/>
          <w:color w:val="auto"/>
          <w:sz w:val="32"/>
          <w:szCs w:val="32"/>
          <w:highlight w:val="none"/>
          <w:u w:val="none"/>
          <w:lang w:val="en-US" w:eastAsia="zh-CN"/>
        </w:rPr>
        <w:t>强化政策扶持。通过特许经营、投资补助、政府购买服务等方式，引导国有资本、社会资本投资建筑垃圾资源化利用设施，按照相关规定，通过招标、竞争性谈判等方式确定经营者。对符合条件的建筑垃圾资源化利用设施，发展</w:t>
      </w:r>
      <w:r>
        <w:rPr>
          <w:rFonts w:hint="eastAsia" w:eastAsia="仿宋_GB2312" w:cs="Times New Roman"/>
          <w:b w:val="0"/>
          <w:bCs w:val="0"/>
          <w:color w:val="auto"/>
          <w:sz w:val="32"/>
          <w:szCs w:val="32"/>
          <w:highlight w:val="none"/>
          <w:u w:val="none"/>
          <w:lang w:val="en-US" w:eastAsia="zh-CN"/>
        </w:rPr>
        <w:t>和</w:t>
      </w:r>
      <w:r>
        <w:rPr>
          <w:rFonts w:hint="eastAsia" w:ascii="Times New Roman" w:hAnsi="Times New Roman" w:eastAsia="仿宋_GB2312" w:cs="Times New Roman"/>
          <w:b w:val="0"/>
          <w:bCs w:val="0"/>
          <w:color w:val="auto"/>
          <w:sz w:val="32"/>
          <w:szCs w:val="32"/>
          <w:highlight w:val="none"/>
          <w:u w:val="none"/>
          <w:lang w:val="en-US" w:eastAsia="zh-CN"/>
        </w:rPr>
        <w:t>改革、自然资源</w:t>
      </w:r>
      <w:r>
        <w:rPr>
          <w:rFonts w:hint="eastAsia" w:eastAsia="仿宋_GB2312" w:cs="Times New Roman"/>
          <w:b w:val="0"/>
          <w:bCs w:val="0"/>
          <w:color w:val="auto"/>
          <w:sz w:val="32"/>
          <w:szCs w:val="32"/>
          <w:highlight w:val="none"/>
          <w:u w:val="none"/>
          <w:lang w:val="en-US" w:eastAsia="zh-CN"/>
        </w:rPr>
        <w:t>和规划</w:t>
      </w:r>
      <w:r>
        <w:rPr>
          <w:rFonts w:hint="eastAsia" w:ascii="Times New Roman" w:hAnsi="Times New Roman" w:eastAsia="仿宋_GB2312" w:cs="Times New Roman"/>
          <w:b w:val="0"/>
          <w:bCs w:val="0"/>
          <w:color w:val="auto"/>
          <w:sz w:val="32"/>
          <w:szCs w:val="32"/>
          <w:highlight w:val="none"/>
          <w:u w:val="none"/>
          <w:lang w:val="en-US" w:eastAsia="zh-CN"/>
        </w:rPr>
        <w:t>、生态环境、住房</w:t>
      </w:r>
      <w:r>
        <w:rPr>
          <w:rFonts w:hint="eastAsia" w:eastAsia="仿宋_GB2312" w:cs="Times New Roman"/>
          <w:b w:val="0"/>
          <w:bCs w:val="0"/>
          <w:color w:val="auto"/>
          <w:sz w:val="32"/>
          <w:szCs w:val="32"/>
          <w:highlight w:val="none"/>
          <w:u w:val="none"/>
          <w:lang w:val="en-US" w:eastAsia="zh-CN"/>
        </w:rPr>
        <w:t>和</w:t>
      </w:r>
      <w:r>
        <w:rPr>
          <w:rFonts w:hint="eastAsia" w:ascii="Times New Roman" w:hAnsi="Times New Roman" w:eastAsia="仿宋_GB2312" w:cs="Times New Roman"/>
          <w:b w:val="0"/>
          <w:bCs w:val="0"/>
          <w:color w:val="auto"/>
          <w:sz w:val="32"/>
          <w:szCs w:val="32"/>
          <w:highlight w:val="none"/>
          <w:u w:val="none"/>
          <w:lang w:val="en-US" w:eastAsia="zh-CN"/>
        </w:rPr>
        <w:t>城乡建设、行政审批等部门开通项目审批绿色通道，在项目立项、用地、规划、环评、核准等方面给予支持。</w:t>
      </w:r>
    </w:p>
    <w:p w14:paraId="1570FA05">
      <w:pPr>
        <w:pageBreakBefore w:val="0"/>
        <w:kinsoku/>
        <w:wordWrap/>
        <w:overflowPunct/>
        <w:topLinePunct w:val="0"/>
        <w:autoSpaceDE/>
        <w:autoSpaceDN/>
        <w:bidi w:val="0"/>
        <w:adjustRightInd/>
        <w:spacing w:beforeAutospacing="0" w:afterAutospacing="0" w:line="560" w:lineRule="exact"/>
        <w:ind w:left="0" w:leftChars="0"/>
        <w:textAlignment w:val="auto"/>
        <w:rPr>
          <w:rFonts w:hint="eastAsia" w:ascii="Times New Roman" w:hAnsi="Times New Roman" w:eastAsia="仿宋_GB2312" w:cs="Times New Roman"/>
          <w:b w:val="0"/>
          <w:bCs w:val="0"/>
          <w:color w:val="auto"/>
          <w:sz w:val="32"/>
          <w:szCs w:val="32"/>
          <w:highlight w:val="none"/>
          <w:u w:val="none"/>
          <w:lang w:val="en-US" w:eastAsia="zh-CN"/>
        </w:rPr>
      </w:pPr>
      <w:r>
        <w:rPr>
          <w:rFonts w:hint="eastAsia" w:ascii="Times New Roman" w:hAnsi="Times New Roman" w:eastAsia="仿宋_GB2312" w:cs="Times New Roman"/>
          <w:b w:val="0"/>
          <w:bCs w:val="0"/>
          <w:color w:val="auto"/>
          <w:sz w:val="32"/>
          <w:szCs w:val="32"/>
          <w:highlight w:val="none"/>
          <w:u w:val="none"/>
          <w:lang w:val="en-US" w:eastAsia="zh-CN"/>
        </w:rPr>
        <w:t>加强宣传引导。广泛宣传建筑垃圾资源化利用的重要意义，营造舆论氛围，强化全民责任意识、法治意识和企业社会主体责任意识。鼓励公众广泛参与，引导全社会形成节约资源、循环发展、保护环境的生产生活方式，提高全社会推广应用再生产品的自觉性和积极性。</w:t>
      </w:r>
    </w:p>
    <w:p w14:paraId="41840FC7">
      <w:pPr>
        <w:pageBreakBefore w:val="0"/>
        <w:kinsoku/>
        <w:wordWrap/>
        <w:overflowPunct/>
        <w:topLinePunct w:val="0"/>
        <w:autoSpaceDE/>
        <w:autoSpaceDN/>
        <w:bidi w:val="0"/>
        <w:adjustRightInd/>
        <w:spacing w:beforeAutospacing="0" w:afterAutospacing="0" w:line="560" w:lineRule="exact"/>
        <w:ind w:left="0" w:leftChars="0"/>
        <w:textAlignment w:val="auto"/>
        <w:rPr>
          <w:rFonts w:hint="eastAsia" w:ascii="Times New Roman" w:hAnsi="Times New Roman" w:eastAsia="仿宋_GB2312" w:cs="Times New Roman"/>
          <w:b w:val="0"/>
          <w:bCs w:val="0"/>
          <w:color w:val="auto"/>
          <w:sz w:val="32"/>
          <w:szCs w:val="32"/>
          <w:highlight w:val="none"/>
          <w:u w:val="none"/>
          <w:lang w:val="en-US" w:eastAsia="zh-CN"/>
        </w:rPr>
      </w:pPr>
    </w:p>
    <w:p w14:paraId="35260A91">
      <w:pPr>
        <w:pageBreakBefore w:val="0"/>
        <w:kinsoku/>
        <w:wordWrap/>
        <w:overflowPunct/>
        <w:topLinePunct w:val="0"/>
        <w:autoSpaceDE/>
        <w:autoSpaceDN/>
        <w:bidi w:val="0"/>
        <w:adjustRightInd/>
        <w:spacing w:beforeAutospacing="0" w:afterAutospacing="0" w:line="560" w:lineRule="exact"/>
        <w:ind w:left="0" w:leftChars="0"/>
        <w:textAlignment w:val="auto"/>
        <w:rPr>
          <w:rFonts w:hint="eastAsia" w:ascii="Times New Roman" w:hAnsi="Times New Roman" w:eastAsia="仿宋_GB2312" w:cs="Times New Roman"/>
          <w:b w:val="0"/>
          <w:bCs w:val="0"/>
          <w:color w:val="auto"/>
          <w:sz w:val="32"/>
          <w:szCs w:val="32"/>
          <w:highlight w:val="none"/>
          <w:u w:val="none"/>
          <w:lang w:val="en-US" w:eastAsia="zh-CN"/>
        </w:rPr>
      </w:pPr>
    </w:p>
    <w:p w14:paraId="35337616">
      <w:pPr>
        <w:pageBreakBefore w:val="0"/>
        <w:kinsoku/>
        <w:wordWrap/>
        <w:overflowPunct/>
        <w:topLinePunct w:val="0"/>
        <w:autoSpaceDE/>
        <w:autoSpaceDN/>
        <w:bidi w:val="0"/>
        <w:adjustRightInd/>
        <w:spacing w:beforeAutospacing="0" w:afterAutospacing="0" w:line="560" w:lineRule="exact"/>
        <w:ind w:left="0" w:leftChars="0"/>
        <w:textAlignment w:val="auto"/>
        <w:rPr>
          <w:rFonts w:hint="eastAsia" w:ascii="Times New Roman" w:hAnsi="Times New Roman" w:eastAsia="仿宋_GB2312" w:cs="Times New Roman"/>
          <w:b w:val="0"/>
          <w:bCs w:val="0"/>
          <w:color w:val="auto"/>
          <w:sz w:val="32"/>
          <w:szCs w:val="32"/>
          <w:highlight w:val="none"/>
          <w:u w:val="none"/>
          <w:lang w:val="en-US" w:eastAsia="zh-CN"/>
        </w:rPr>
      </w:pPr>
    </w:p>
    <w:p w14:paraId="58AB5021">
      <w:pPr>
        <w:pageBreakBefore w:val="0"/>
        <w:kinsoku/>
        <w:wordWrap/>
        <w:overflowPunct/>
        <w:topLinePunct w:val="0"/>
        <w:autoSpaceDE/>
        <w:autoSpaceDN/>
        <w:bidi w:val="0"/>
        <w:adjustRightInd/>
        <w:spacing w:beforeAutospacing="0" w:afterAutospacing="0" w:line="560" w:lineRule="exact"/>
        <w:ind w:left="0" w:leftChars="0"/>
        <w:textAlignment w:val="auto"/>
        <w:rPr>
          <w:rFonts w:hint="eastAsia" w:ascii="Times New Roman" w:hAnsi="Times New Roman" w:eastAsia="仿宋_GB2312" w:cs="Times New Roman"/>
          <w:b w:val="0"/>
          <w:bCs w:val="0"/>
          <w:color w:val="auto"/>
          <w:sz w:val="32"/>
          <w:szCs w:val="32"/>
          <w:highlight w:val="none"/>
          <w:u w:val="none"/>
          <w:lang w:val="en-US" w:eastAsia="zh-CN"/>
        </w:rPr>
      </w:pPr>
    </w:p>
    <w:p w14:paraId="26575E11">
      <w:pPr>
        <w:pageBreakBefore w:val="0"/>
        <w:kinsoku/>
        <w:wordWrap/>
        <w:overflowPunct/>
        <w:topLinePunct w:val="0"/>
        <w:autoSpaceDE/>
        <w:autoSpaceDN/>
        <w:bidi w:val="0"/>
        <w:adjustRightInd/>
        <w:spacing w:beforeAutospacing="0" w:afterAutospacing="0" w:line="560" w:lineRule="exact"/>
        <w:ind w:left="0" w:leftChars="0"/>
        <w:textAlignment w:val="auto"/>
        <w:rPr>
          <w:rFonts w:hint="eastAsia" w:ascii="Times New Roman" w:hAnsi="Times New Roman" w:eastAsia="仿宋_GB2312" w:cs="Times New Roman"/>
          <w:b w:val="0"/>
          <w:bCs w:val="0"/>
          <w:color w:val="auto"/>
          <w:sz w:val="32"/>
          <w:szCs w:val="32"/>
          <w:highlight w:val="none"/>
          <w:u w:val="none"/>
          <w:lang w:val="en-US" w:eastAsia="zh-CN"/>
        </w:rPr>
      </w:pPr>
    </w:p>
    <w:p w14:paraId="3991CC24">
      <w:pPr>
        <w:pStyle w:val="2"/>
        <w:pageBreakBefore w:val="0"/>
        <w:kinsoku/>
        <w:wordWrap/>
        <w:topLinePunct w:val="0"/>
        <w:bidi w:val="0"/>
        <w:spacing w:before="0" w:beforeLines="0" w:beforeAutospacing="0" w:after="0" w:afterLines="0" w:afterAutospacing="0" w:line="560" w:lineRule="exact"/>
        <w:ind w:left="0" w:leftChars="0" w:firstLine="640" w:firstLineChars="200"/>
        <w:jc w:val="both"/>
        <w:rPr>
          <w:rFonts w:hint="eastAsia" w:ascii="Times New Roman" w:hAnsi="Times New Roman" w:eastAsia="仿宋_GB2312" w:cs="Times New Roman"/>
          <w:b w:val="0"/>
          <w:bCs w:val="0"/>
          <w:color w:val="auto"/>
          <w:kern w:val="2"/>
          <w:sz w:val="32"/>
          <w:szCs w:val="32"/>
          <w:highlight w:val="none"/>
          <w:u w:val="none"/>
          <w:lang w:val="en-US" w:eastAsia="zh-CN" w:bidi="ar-SA"/>
        </w:rPr>
      </w:pPr>
      <w:bookmarkStart w:id="100" w:name="_Toc26044"/>
      <w:bookmarkStart w:id="101" w:name="_Toc25594"/>
      <w:bookmarkStart w:id="102" w:name="_Toc13705"/>
      <w:r>
        <w:rPr>
          <w:rFonts w:hint="eastAsia" w:ascii="黑体" w:hAnsi="黑体" w:eastAsia="黑体" w:cs="黑体"/>
          <w:b w:val="0"/>
          <w:bCs w:val="0"/>
          <w:color w:val="auto"/>
          <w:kern w:val="2"/>
          <w:sz w:val="32"/>
          <w:szCs w:val="32"/>
          <w:highlight w:val="none"/>
          <w:u w:val="none"/>
          <w:lang w:val="en-US" w:eastAsia="zh-CN" w:bidi="ar-SA"/>
        </w:rPr>
        <w:t>十、建筑垃圾监督管理体系规划</w:t>
      </w:r>
      <w:bookmarkEnd w:id="100"/>
      <w:bookmarkEnd w:id="101"/>
      <w:bookmarkEnd w:id="102"/>
    </w:p>
    <w:p w14:paraId="3A75E7CD">
      <w:pPr>
        <w:pStyle w:val="3"/>
        <w:pageBreakBefore w:val="0"/>
        <w:kinsoku/>
        <w:wordWrap/>
        <w:topLinePunct w:val="0"/>
        <w:bidi w:val="0"/>
        <w:spacing w:beforeAutospacing="0" w:afterAutospacing="0" w:line="560" w:lineRule="exact"/>
        <w:ind w:left="0" w:leftChars="0"/>
        <w:rPr>
          <w:rFonts w:hint="eastAsia" w:ascii="Times New Roman" w:hAnsi="Times New Roman" w:eastAsia="仿宋_GB2312" w:cs="Times New Roman"/>
          <w:b w:val="0"/>
          <w:bCs w:val="0"/>
          <w:color w:val="auto"/>
          <w:kern w:val="2"/>
          <w:sz w:val="32"/>
          <w:szCs w:val="32"/>
          <w:highlight w:val="none"/>
          <w:u w:val="none"/>
          <w:lang w:val="en-US" w:eastAsia="zh-CN" w:bidi="ar-SA"/>
        </w:rPr>
      </w:pPr>
      <w:bookmarkStart w:id="103" w:name="_Toc18486"/>
      <w:r>
        <w:rPr>
          <w:rFonts w:hint="eastAsia" w:ascii="Times New Roman" w:hAnsi="Times New Roman" w:eastAsia="仿宋_GB2312" w:cs="Times New Roman"/>
          <w:b w:val="0"/>
          <w:bCs w:val="0"/>
          <w:color w:val="auto"/>
          <w:kern w:val="2"/>
          <w:sz w:val="32"/>
          <w:szCs w:val="32"/>
          <w:highlight w:val="none"/>
          <w:u w:val="none"/>
          <w:lang w:val="en-US" w:eastAsia="zh-CN" w:bidi="ar-SA"/>
        </w:rPr>
        <w:t xml:space="preserve">   </w:t>
      </w:r>
      <w:r>
        <w:rPr>
          <w:rFonts w:hint="eastAsia" w:ascii="楷体_GB2312" w:hAnsi="楷体_GB2312" w:eastAsia="楷体_GB2312" w:cs="楷体_GB2312"/>
          <w:b w:val="0"/>
          <w:bCs w:val="0"/>
          <w:color w:val="auto"/>
          <w:kern w:val="2"/>
          <w:sz w:val="32"/>
          <w:szCs w:val="32"/>
          <w:highlight w:val="none"/>
          <w:u w:val="none"/>
          <w:lang w:val="en-US" w:eastAsia="zh-CN" w:bidi="ar-SA"/>
        </w:rPr>
        <w:t xml:space="preserve"> </w:t>
      </w:r>
      <w:bookmarkStart w:id="104" w:name="_Toc20680"/>
      <w:bookmarkStart w:id="105" w:name="_Toc28973"/>
      <w:r>
        <w:rPr>
          <w:rFonts w:hint="eastAsia" w:ascii="楷体_GB2312" w:hAnsi="楷体_GB2312" w:eastAsia="楷体_GB2312" w:cs="楷体_GB2312"/>
          <w:b w:val="0"/>
          <w:bCs w:val="0"/>
          <w:color w:val="auto"/>
          <w:kern w:val="2"/>
          <w:sz w:val="32"/>
          <w:szCs w:val="32"/>
          <w:highlight w:val="none"/>
          <w:u w:val="none"/>
          <w:lang w:val="en-US" w:eastAsia="zh-CN" w:bidi="ar-SA"/>
        </w:rPr>
        <w:t>（一）管理制度机制建设</w:t>
      </w:r>
      <w:bookmarkEnd w:id="103"/>
      <w:bookmarkEnd w:id="104"/>
      <w:bookmarkEnd w:id="105"/>
    </w:p>
    <w:p w14:paraId="6133CC7D">
      <w:pPr>
        <w:pageBreakBefore w:val="0"/>
        <w:kinsoku/>
        <w:wordWrap/>
        <w:topLinePunct w:val="0"/>
        <w:bidi w:val="0"/>
        <w:spacing w:beforeAutospacing="0" w:afterAutospacing="0" w:line="560" w:lineRule="exact"/>
        <w:ind w:left="0" w:leftChars="0"/>
        <w:rPr>
          <w:rFonts w:hint="eastAsia" w:ascii="Times New Roman" w:hAnsi="Times New Roman" w:eastAsia="仿宋_GB2312" w:cs="Times New Roman"/>
          <w:b w:val="0"/>
          <w:bCs w:val="0"/>
          <w:color w:val="auto"/>
          <w:kern w:val="2"/>
          <w:sz w:val="32"/>
          <w:szCs w:val="32"/>
          <w:highlight w:val="none"/>
          <w:u w:val="none"/>
          <w:lang w:val="en-US" w:eastAsia="zh-CN" w:bidi="ar-SA"/>
        </w:rPr>
      </w:pPr>
      <w:r>
        <w:rPr>
          <w:rFonts w:hint="eastAsia" w:ascii="Times New Roman" w:hAnsi="Times New Roman" w:eastAsia="仿宋_GB2312" w:cs="Times New Roman"/>
          <w:b w:val="0"/>
          <w:bCs w:val="0"/>
          <w:color w:val="auto"/>
          <w:kern w:val="2"/>
          <w:sz w:val="32"/>
          <w:szCs w:val="32"/>
          <w:highlight w:val="none"/>
          <w:u w:val="none"/>
          <w:lang w:val="en-US" w:eastAsia="zh-CN" w:bidi="ar-SA"/>
        </w:rPr>
        <w:t>以实现建筑垃圾减量化、资源化、无害化为目标，全面落实《柳州市城市建筑垃圾管理办法》相关规定，健全建筑垃圾管理队伍，建立建筑垃圾管理制度，包括建筑垃圾分类管理、全过程管理、电子转移联单、</w:t>
      </w:r>
      <w:r>
        <w:rPr>
          <w:rFonts w:hint="eastAsia" w:eastAsia="仿宋_GB2312" w:cs="Times New Roman"/>
          <w:b w:val="0"/>
          <w:bCs w:val="0"/>
          <w:color w:val="auto"/>
          <w:kern w:val="2"/>
          <w:sz w:val="32"/>
          <w:szCs w:val="32"/>
          <w:highlight w:val="none"/>
          <w:u w:val="none"/>
          <w:lang w:val="en-US" w:eastAsia="zh-CN" w:bidi="ar-SA"/>
        </w:rPr>
        <w:t>运输</w:t>
      </w:r>
      <w:r>
        <w:rPr>
          <w:rFonts w:hint="eastAsia" w:ascii="Times New Roman" w:hAnsi="Times New Roman" w:eastAsia="仿宋_GB2312" w:cs="Times New Roman"/>
          <w:b w:val="0"/>
          <w:bCs w:val="0"/>
          <w:color w:val="auto"/>
          <w:kern w:val="2"/>
          <w:sz w:val="32"/>
          <w:szCs w:val="32"/>
          <w:highlight w:val="none"/>
          <w:u w:val="none"/>
          <w:lang w:val="en-US" w:eastAsia="zh-CN" w:bidi="ar-SA"/>
        </w:rPr>
        <w:t>企业监管、综合利用产品推广应用、生态环境补偿、联合监管执法、许可备案、执法检查、举报投诉等制度机制，压实各方主体责任，提高建筑垃圾管理水平，维护城市市容环境。</w:t>
      </w:r>
    </w:p>
    <w:p w14:paraId="139B4536">
      <w:pPr>
        <w:pStyle w:val="3"/>
        <w:pageBreakBefore w:val="0"/>
        <w:kinsoku/>
        <w:wordWrap/>
        <w:topLinePunct w:val="0"/>
        <w:bidi w:val="0"/>
        <w:spacing w:beforeAutospacing="0" w:afterAutospacing="0" w:line="560" w:lineRule="exact"/>
        <w:ind w:left="0" w:leftChars="0"/>
        <w:rPr>
          <w:rFonts w:hint="eastAsia" w:ascii="楷体_GB2312" w:hAnsi="楷体_GB2312" w:eastAsia="楷体_GB2312" w:cs="楷体_GB2312"/>
          <w:b w:val="0"/>
          <w:bCs w:val="0"/>
          <w:color w:val="auto"/>
          <w:kern w:val="2"/>
          <w:sz w:val="32"/>
          <w:szCs w:val="32"/>
          <w:highlight w:val="none"/>
          <w:u w:val="none"/>
          <w:lang w:val="en-US" w:eastAsia="zh-CN" w:bidi="ar-SA"/>
        </w:rPr>
      </w:pPr>
      <w:bookmarkStart w:id="106" w:name="_Toc11989"/>
      <w:r>
        <w:rPr>
          <w:rFonts w:hint="eastAsia" w:ascii="Times New Roman" w:hAnsi="Times New Roman" w:eastAsia="仿宋_GB2312" w:cs="Times New Roman"/>
          <w:b w:val="0"/>
          <w:bCs w:val="0"/>
          <w:color w:val="auto"/>
          <w:kern w:val="2"/>
          <w:sz w:val="32"/>
          <w:szCs w:val="32"/>
          <w:highlight w:val="none"/>
          <w:u w:val="none"/>
          <w:lang w:val="en-US" w:eastAsia="zh-CN" w:bidi="ar-SA"/>
        </w:rPr>
        <w:t xml:space="preserve">  </w:t>
      </w:r>
      <w:r>
        <w:rPr>
          <w:rFonts w:hint="eastAsia" w:ascii="楷体_GB2312" w:hAnsi="楷体_GB2312" w:eastAsia="楷体_GB2312" w:cs="楷体_GB2312"/>
          <w:b w:val="0"/>
          <w:bCs w:val="0"/>
          <w:color w:val="auto"/>
          <w:kern w:val="2"/>
          <w:sz w:val="32"/>
          <w:szCs w:val="32"/>
          <w:highlight w:val="none"/>
          <w:u w:val="none"/>
          <w:lang w:val="en-US" w:eastAsia="zh-CN" w:bidi="ar-SA"/>
        </w:rPr>
        <w:t xml:space="preserve">  </w:t>
      </w:r>
      <w:bookmarkStart w:id="107" w:name="_Toc28220"/>
      <w:bookmarkStart w:id="108" w:name="_Toc29144"/>
      <w:r>
        <w:rPr>
          <w:rFonts w:hint="eastAsia" w:ascii="楷体_GB2312" w:hAnsi="楷体_GB2312" w:eastAsia="楷体_GB2312" w:cs="楷体_GB2312"/>
          <w:b w:val="0"/>
          <w:bCs w:val="0"/>
          <w:color w:val="auto"/>
          <w:kern w:val="2"/>
          <w:sz w:val="32"/>
          <w:szCs w:val="32"/>
          <w:highlight w:val="none"/>
          <w:u w:val="none"/>
          <w:lang w:val="en-US" w:eastAsia="zh-CN" w:bidi="ar-SA"/>
        </w:rPr>
        <w:t>（二）部门职责</w:t>
      </w:r>
      <w:bookmarkEnd w:id="106"/>
      <w:bookmarkEnd w:id="107"/>
      <w:bookmarkEnd w:id="108"/>
    </w:p>
    <w:p w14:paraId="58ECC8F1">
      <w:pPr>
        <w:pageBreakBefore w:val="0"/>
        <w:kinsoku/>
        <w:wordWrap/>
        <w:topLinePunct w:val="0"/>
        <w:bidi w:val="0"/>
        <w:spacing w:beforeAutospacing="0" w:afterAutospacing="0" w:line="560" w:lineRule="exact"/>
        <w:ind w:left="0" w:leftChars="0"/>
        <w:rPr>
          <w:rFonts w:hint="eastAsia" w:ascii="Times New Roman" w:hAnsi="Times New Roman" w:eastAsia="仿宋_GB2312" w:cs="Times New Roman"/>
          <w:b w:val="0"/>
          <w:bCs w:val="0"/>
          <w:color w:val="auto"/>
          <w:kern w:val="2"/>
          <w:sz w:val="32"/>
          <w:szCs w:val="32"/>
          <w:highlight w:val="none"/>
          <w:u w:val="none"/>
          <w:lang w:val="en-US" w:eastAsia="zh-CN" w:bidi="ar-SA"/>
        </w:rPr>
      </w:pPr>
      <w:r>
        <w:rPr>
          <w:rFonts w:hint="eastAsia" w:eastAsia="仿宋_GB2312" w:cs="Times New Roman"/>
          <w:b w:val="0"/>
          <w:bCs w:val="0"/>
          <w:color w:val="auto"/>
          <w:kern w:val="2"/>
          <w:sz w:val="32"/>
          <w:szCs w:val="32"/>
          <w:highlight w:val="none"/>
          <w:u w:val="none"/>
          <w:lang w:val="en-US" w:eastAsia="zh-CN" w:bidi="ar-SA"/>
        </w:rPr>
        <w:t>县</w:t>
      </w:r>
      <w:r>
        <w:rPr>
          <w:rFonts w:hint="eastAsia" w:ascii="Times New Roman" w:hAnsi="Times New Roman" w:eastAsia="仿宋_GB2312" w:cs="Times New Roman"/>
          <w:b w:val="0"/>
          <w:bCs w:val="0"/>
          <w:color w:val="auto"/>
          <w:kern w:val="2"/>
          <w:sz w:val="32"/>
          <w:szCs w:val="32"/>
          <w:highlight w:val="none"/>
          <w:u w:val="none"/>
          <w:lang w:val="en-US" w:eastAsia="zh-CN" w:bidi="ar-SA"/>
        </w:rPr>
        <w:t>综合行政执法局：建筑垃圾管理的行政主管部门，负责本行政区域内建筑垃圾管理工作的统筹规划、督促指导；完善建筑渣土泥浆车</w:t>
      </w:r>
      <w:r>
        <w:rPr>
          <w:rFonts w:hint="eastAsia" w:eastAsia="仿宋_GB2312" w:cs="Times New Roman"/>
          <w:b w:val="0"/>
          <w:bCs w:val="0"/>
          <w:color w:val="auto"/>
          <w:kern w:val="2"/>
          <w:sz w:val="32"/>
          <w:szCs w:val="32"/>
          <w:highlight w:val="none"/>
          <w:u w:val="none"/>
          <w:lang w:val="en-US" w:eastAsia="zh-CN" w:bidi="ar-SA"/>
        </w:rPr>
        <w:t>运输</w:t>
      </w:r>
      <w:r>
        <w:rPr>
          <w:rFonts w:hint="eastAsia" w:ascii="Times New Roman" w:hAnsi="Times New Roman" w:eastAsia="仿宋_GB2312" w:cs="Times New Roman"/>
          <w:b w:val="0"/>
          <w:bCs w:val="0"/>
          <w:color w:val="auto"/>
          <w:kern w:val="2"/>
          <w:sz w:val="32"/>
          <w:szCs w:val="32"/>
          <w:highlight w:val="none"/>
          <w:u w:val="none"/>
          <w:lang w:val="en-US" w:eastAsia="zh-CN" w:bidi="ar-SA"/>
        </w:rPr>
        <w:t>企业准入制度；指导加快推进建筑渣土泥浆资源化利用；对建筑垃圾陆路运输中车辆未经核准或未按核准要求处置、车容不洁、滴撒漏、随意倾倒和堆放建筑垃圾等违法行为进行查处；牵头建筑垃圾综合治理工作。</w:t>
      </w:r>
    </w:p>
    <w:p w14:paraId="4061FB20">
      <w:pPr>
        <w:pageBreakBefore w:val="0"/>
        <w:kinsoku/>
        <w:wordWrap/>
        <w:topLinePunct w:val="0"/>
        <w:bidi w:val="0"/>
        <w:spacing w:beforeAutospacing="0" w:afterAutospacing="0" w:line="560" w:lineRule="exact"/>
        <w:ind w:left="0" w:leftChars="0"/>
        <w:rPr>
          <w:rFonts w:hint="eastAsia" w:ascii="Times New Roman" w:hAnsi="Times New Roman" w:eastAsia="仿宋_GB2312" w:cs="Times New Roman"/>
          <w:b w:val="0"/>
          <w:bCs w:val="0"/>
          <w:color w:val="auto"/>
          <w:kern w:val="2"/>
          <w:sz w:val="32"/>
          <w:szCs w:val="32"/>
          <w:highlight w:val="none"/>
          <w:u w:val="none"/>
          <w:lang w:val="en-US" w:eastAsia="zh-CN" w:bidi="ar-SA"/>
        </w:rPr>
      </w:pPr>
      <w:r>
        <w:rPr>
          <w:rFonts w:hint="eastAsia" w:eastAsia="仿宋_GB2312" w:cs="Times New Roman"/>
          <w:b w:val="0"/>
          <w:bCs w:val="0"/>
          <w:color w:val="auto"/>
          <w:kern w:val="2"/>
          <w:sz w:val="32"/>
          <w:szCs w:val="32"/>
          <w:highlight w:val="none"/>
          <w:u w:val="none"/>
          <w:lang w:val="en-US" w:eastAsia="zh-CN" w:bidi="ar-SA"/>
        </w:rPr>
        <w:t>县</w:t>
      </w:r>
      <w:r>
        <w:rPr>
          <w:rFonts w:hint="eastAsia" w:ascii="Times New Roman" w:hAnsi="Times New Roman" w:eastAsia="仿宋_GB2312" w:cs="Times New Roman"/>
          <w:b w:val="0"/>
          <w:bCs w:val="0"/>
          <w:color w:val="auto"/>
          <w:kern w:val="2"/>
          <w:sz w:val="32"/>
          <w:szCs w:val="32"/>
          <w:highlight w:val="none"/>
          <w:u w:val="none"/>
          <w:lang w:val="en-US" w:eastAsia="zh-CN" w:bidi="ar-SA"/>
        </w:rPr>
        <w:t>发展和改革局：在建筑垃圾资源化利用项目立项方面给予积极支持</w:t>
      </w:r>
      <w:r>
        <w:rPr>
          <w:rFonts w:hint="eastAsia" w:eastAsia="仿宋_GB2312" w:cs="Times New Roman"/>
          <w:b w:val="0"/>
          <w:bCs w:val="0"/>
          <w:color w:val="auto"/>
          <w:kern w:val="2"/>
          <w:sz w:val="32"/>
          <w:szCs w:val="32"/>
          <w:highlight w:val="none"/>
          <w:u w:val="none"/>
          <w:lang w:val="en-US" w:eastAsia="zh-CN" w:bidi="ar-SA"/>
        </w:rPr>
        <w:t>；</w:t>
      </w:r>
      <w:r>
        <w:rPr>
          <w:rFonts w:hint="eastAsia" w:ascii="Times New Roman" w:hAnsi="Times New Roman" w:eastAsia="仿宋_GB2312" w:cs="Times New Roman"/>
          <w:b w:val="0"/>
          <w:bCs w:val="0"/>
          <w:color w:val="auto"/>
          <w:kern w:val="2"/>
          <w:sz w:val="32"/>
          <w:szCs w:val="32"/>
          <w:highlight w:val="none"/>
          <w:u w:val="none"/>
          <w:lang w:val="en-US" w:eastAsia="zh-CN" w:bidi="ar-SA"/>
        </w:rPr>
        <w:t>负责建筑垃圾资源化利用项目备案审批；会同</w:t>
      </w:r>
      <w:r>
        <w:rPr>
          <w:rFonts w:hint="eastAsia" w:eastAsia="仿宋_GB2312" w:cs="Times New Roman"/>
          <w:b w:val="0"/>
          <w:bCs w:val="0"/>
          <w:color w:val="auto"/>
          <w:kern w:val="2"/>
          <w:sz w:val="32"/>
          <w:szCs w:val="32"/>
          <w:highlight w:val="none"/>
          <w:u w:val="none"/>
          <w:lang w:val="en-US" w:eastAsia="zh-CN" w:bidi="ar-SA"/>
        </w:rPr>
        <w:t>县科技工贸和信息化局</w:t>
      </w:r>
      <w:r>
        <w:rPr>
          <w:rFonts w:hint="eastAsia" w:ascii="Times New Roman" w:hAnsi="Times New Roman" w:eastAsia="仿宋_GB2312" w:cs="Times New Roman"/>
          <w:b w:val="0"/>
          <w:bCs w:val="0"/>
          <w:color w:val="auto"/>
          <w:kern w:val="2"/>
          <w:sz w:val="32"/>
          <w:szCs w:val="32"/>
          <w:highlight w:val="none"/>
          <w:u w:val="none"/>
          <w:lang w:val="en-US" w:eastAsia="zh-CN" w:bidi="ar-SA"/>
        </w:rPr>
        <w:t>做好建筑垃圾再生利用产品以及相关节能低碳技术的应用与推广。</w:t>
      </w:r>
    </w:p>
    <w:p w14:paraId="11AB0B63">
      <w:pPr>
        <w:pageBreakBefore w:val="0"/>
        <w:kinsoku/>
        <w:wordWrap/>
        <w:topLinePunct w:val="0"/>
        <w:bidi w:val="0"/>
        <w:spacing w:beforeAutospacing="0" w:afterAutospacing="0" w:line="560" w:lineRule="exact"/>
        <w:ind w:left="0" w:leftChars="0"/>
        <w:rPr>
          <w:rFonts w:hint="eastAsia" w:ascii="Times New Roman" w:hAnsi="Times New Roman" w:eastAsia="仿宋_GB2312" w:cs="Times New Roman"/>
          <w:b w:val="0"/>
          <w:bCs w:val="0"/>
          <w:color w:val="auto"/>
          <w:kern w:val="2"/>
          <w:sz w:val="32"/>
          <w:szCs w:val="32"/>
          <w:highlight w:val="none"/>
          <w:u w:val="none"/>
          <w:lang w:val="en-US" w:eastAsia="zh-CN" w:bidi="ar-SA"/>
        </w:rPr>
      </w:pPr>
      <w:r>
        <w:rPr>
          <w:rFonts w:hint="eastAsia" w:eastAsia="仿宋_GB2312" w:cs="Times New Roman"/>
          <w:b w:val="0"/>
          <w:bCs w:val="0"/>
          <w:color w:val="auto"/>
          <w:kern w:val="2"/>
          <w:sz w:val="32"/>
          <w:szCs w:val="32"/>
          <w:highlight w:val="none"/>
          <w:u w:val="none"/>
          <w:lang w:val="en-US" w:eastAsia="zh-CN" w:bidi="ar-SA"/>
        </w:rPr>
        <w:t>县</w:t>
      </w:r>
      <w:r>
        <w:rPr>
          <w:rFonts w:hint="eastAsia" w:ascii="Times New Roman" w:hAnsi="Times New Roman" w:eastAsia="仿宋_GB2312" w:cs="Times New Roman"/>
          <w:b w:val="0"/>
          <w:bCs w:val="0"/>
          <w:color w:val="auto"/>
          <w:kern w:val="2"/>
          <w:sz w:val="32"/>
          <w:szCs w:val="32"/>
          <w:highlight w:val="none"/>
          <w:u w:val="none"/>
          <w:lang w:val="en-US" w:eastAsia="zh-CN" w:bidi="ar-SA"/>
        </w:rPr>
        <w:t>公安局：协调建筑垃圾运输车辆行驶路线、时间等；依法查处违反规定通行的交通违法行为；依法对组织、参与无资质运输扰乱行业执行的单位和个人以及暴力抗法活动进行严厉打击。</w:t>
      </w:r>
    </w:p>
    <w:p w14:paraId="145EFB17">
      <w:pPr>
        <w:pageBreakBefore w:val="0"/>
        <w:kinsoku/>
        <w:wordWrap/>
        <w:topLinePunct w:val="0"/>
        <w:bidi w:val="0"/>
        <w:spacing w:beforeAutospacing="0" w:afterAutospacing="0" w:line="560" w:lineRule="exact"/>
        <w:ind w:left="0" w:leftChars="0"/>
        <w:rPr>
          <w:rFonts w:hint="eastAsia" w:ascii="Times New Roman" w:hAnsi="Times New Roman" w:eastAsia="仿宋_GB2312" w:cs="Times New Roman"/>
          <w:b w:val="0"/>
          <w:bCs w:val="0"/>
          <w:color w:val="auto"/>
          <w:kern w:val="2"/>
          <w:sz w:val="32"/>
          <w:szCs w:val="32"/>
          <w:highlight w:val="none"/>
          <w:u w:val="none"/>
          <w:lang w:val="en-US" w:eastAsia="zh-CN" w:bidi="ar-SA"/>
        </w:rPr>
      </w:pPr>
      <w:r>
        <w:rPr>
          <w:rFonts w:hint="eastAsia" w:eastAsia="仿宋_GB2312" w:cs="Times New Roman"/>
          <w:b w:val="0"/>
          <w:bCs w:val="0"/>
          <w:color w:val="auto"/>
          <w:kern w:val="2"/>
          <w:sz w:val="32"/>
          <w:szCs w:val="32"/>
          <w:highlight w:val="none"/>
          <w:u w:val="none"/>
          <w:lang w:val="en-US" w:eastAsia="zh-CN" w:bidi="ar-SA"/>
        </w:rPr>
        <w:t>县</w:t>
      </w:r>
      <w:r>
        <w:rPr>
          <w:rFonts w:hint="eastAsia" w:ascii="Times New Roman" w:hAnsi="Times New Roman" w:eastAsia="仿宋_GB2312" w:cs="Times New Roman"/>
          <w:b w:val="0"/>
          <w:bCs w:val="0"/>
          <w:color w:val="auto"/>
          <w:kern w:val="2"/>
          <w:sz w:val="32"/>
          <w:szCs w:val="32"/>
          <w:highlight w:val="none"/>
          <w:u w:val="none"/>
          <w:lang w:val="en-US" w:eastAsia="zh-CN" w:bidi="ar-SA"/>
        </w:rPr>
        <w:t>自然资源和规划局：负责指导排查整治基本农田中建筑垃圾乱堆乱倒问题，依法依规指导办理建筑垃圾处置设施用地审批手续，对建筑垃圾消纳场所违反《土地管理法》《城乡规划法》的行为，依法依规认定。</w:t>
      </w:r>
    </w:p>
    <w:p w14:paraId="0A78EF6C">
      <w:pPr>
        <w:pageBreakBefore w:val="0"/>
        <w:kinsoku/>
        <w:wordWrap/>
        <w:topLinePunct w:val="0"/>
        <w:bidi w:val="0"/>
        <w:spacing w:beforeAutospacing="0" w:afterAutospacing="0" w:line="560" w:lineRule="exact"/>
        <w:ind w:left="0" w:leftChars="0"/>
        <w:rPr>
          <w:rFonts w:hint="eastAsia" w:ascii="Times New Roman" w:hAnsi="Times New Roman" w:eastAsia="仿宋_GB2312" w:cs="Times New Roman"/>
          <w:b w:val="0"/>
          <w:bCs w:val="0"/>
          <w:color w:val="auto"/>
          <w:kern w:val="2"/>
          <w:sz w:val="32"/>
          <w:szCs w:val="32"/>
          <w:highlight w:val="none"/>
          <w:u w:val="none"/>
          <w:lang w:val="en-US" w:eastAsia="zh-CN" w:bidi="ar-SA"/>
        </w:rPr>
      </w:pPr>
      <w:r>
        <w:rPr>
          <w:rFonts w:hint="eastAsia" w:eastAsia="仿宋_GB2312" w:cs="Times New Roman"/>
          <w:b w:val="0"/>
          <w:bCs w:val="0"/>
          <w:color w:val="auto"/>
          <w:kern w:val="2"/>
          <w:sz w:val="32"/>
          <w:szCs w:val="32"/>
          <w:highlight w:val="none"/>
          <w:u w:val="none"/>
          <w:lang w:val="en-US" w:eastAsia="zh-CN" w:bidi="ar-SA"/>
        </w:rPr>
        <w:t>县</w:t>
      </w:r>
      <w:r>
        <w:rPr>
          <w:rFonts w:hint="eastAsia" w:ascii="Times New Roman" w:hAnsi="Times New Roman" w:eastAsia="仿宋_GB2312" w:cs="Times New Roman"/>
          <w:b w:val="0"/>
          <w:bCs w:val="0"/>
          <w:color w:val="auto"/>
          <w:kern w:val="2"/>
          <w:sz w:val="32"/>
          <w:szCs w:val="32"/>
          <w:highlight w:val="none"/>
          <w:u w:val="none"/>
          <w:lang w:val="en-US" w:eastAsia="zh-CN" w:bidi="ar-SA"/>
        </w:rPr>
        <w:t>住房和城乡建设局：对全县建筑工地施行源头管控，实行标准化管理；对建筑工地渣土泥浆外运、泥浆固化等实行规范管理；指导加快推进建筑工程、拆除、装修垃圾资源化利用；指导、督促物业服务企业加强对建筑垃圾的规范管理。</w:t>
      </w:r>
    </w:p>
    <w:p w14:paraId="4557856F">
      <w:pPr>
        <w:pageBreakBefore w:val="0"/>
        <w:kinsoku/>
        <w:wordWrap/>
        <w:topLinePunct w:val="0"/>
        <w:bidi w:val="0"/>
        <w:spacing w:beforeAutospacing="0" w:afterAutospacing="0" w:line="560" w:lineRule="exact"/>
        <w:ind w:left="0" w:leftChars="0"/>
        <w:rPr>
          <w:rFonts w:hint="default" w:ascii="Times New Roman" w:hAnsi="Times New Roman" w:eastAsia="仿宋_GB2312" w:cs="Times New Roman"/>
          <w:b w:val="0"/>
          <w:bCs w:val="0"/>
          <w:color w:val="auto"/>
          <w:kern w:val="2"/>
          <w:sz w:val="32"/>
          <w:szCs w:val="32"/>
          <w:highlight w:val="none"/>
          <w:u w:val="none"/>
          <w:lang w:val="en-US" w:eastAsia="zh-CN" w:bidi="ar-SA"/>
        </w:rPr>
      </w:pPr>
      <w:r>
        <w:rPr>
          <w:rFonts w:hint="eastAsia" w:eastAsia="仿宋_GB2312" w:cs="Times New Roman"/>
          <w:b w:val="0"/>
          <w:bCs w:val="0"/>
          <w:color w:val="auto"/>
          <w:kern w:val="2"/>
          <w:sz w:val="32"/>
          <w:szCs w:val="32"/>
          <w:highlight w:val="none"/>
          <w:u w:val="none"/>
          <w:lang w:val="en-US" w:eastAsia="zh-CN" w:bidi="ar-SA"/>
        </w:rPr>
        <w:t>县</w:t>
      </w:r>
      <w:r>
        <w:rPr>
          <w:rFonts w:hint="eastAsia" w:ascii="Times New Roman" w:hAnsi="Times New Roman" w:eastAsia="仿宋_GB2312" w:cs="Times New Roman"/>
          <w:b w:val="0"/>
          <w:bCs w:val="0"/>
          <w:color w:val="auto"/>
          <w:kern w:val="2"/>
          <w:sz w:val="32"/>
          <w:szCs w:val="32"/>
          <w:highlight w:val="none"/>
          <w:u w:val="none"/>
          <w:lang w:val="en-US" w:eastAsia="zh-CN" w:bidi="ar-SA"/>
        </w:rPr>
        <w:t>水利局：负责监管水利行业内的建筑垃圾处置行为，确保相关单位和个人按照规定进行建筑垃圾分类、收集、运输和处理；协助</w:t>
      </w:r>
      <w:r>
        <w:rPr>
          <w:rFonts w:hint="eastAsia" w:eastAsia="仿宋_GB2312" w:cs="Times New Roman"/>
          <w:b w:val="0"/>
          <w:bCs w:val="0"/>
          <w:color w:val="auto"/>
          <w:kern w:val="2"/>
          <w:sz w:val="32"/>
          <w:szCs w:val="32"/>
          <w:highlight w:val="none"/>
          <w:u w:val="none"/>
          <w:lang w:val="en-US" w:eastAsia="zh-CN" w:bidi="ar-SA"/>
        </w:rPr>
        <w:t>建筑垃圾管理</w:t>
      </w:r>
      <w:r>
        <w:rPr>
          <w:rFonts w:hint="eastAsia" w:ascii="Times New Roman" w:hAnsi="Times New Roman" w:eastAsia="仿宋_GB2312" w:cs="Times New Roman"/>
          <w:b w:val="0"/>
          <w:bCs w:val="0"/>
          <w:color w:val="auto"/>
          <w:kern w:val="2"/>
          <w:sz w:val="32"/>
          <w:szCs w:val="32"/>
          <w:highlight w:val="none"/>
          <w:u w:val="none"/>
          <w:lang w:val="en-US" w:eastAsia="zh-CN" w:bidi="ar-SA"/>
        </w:rPr>
        <w:t>主管部门监督和管理水库、河流水域范围内的倾倒建筑垃圾违法行为，确保水域环境不被建筑垃圾污染。会同</w:t>
      </w:r>
      <w:r>
        <w:rPr>
          <w:rFonts w:hint="eastAsia" w:eastAsia="仿宋_GB2312" w:cs="Times New Roman"/>
          <w:b w:val="0"/>
          <w:bCs w:val="0"/>
          <w:color w:val="auto"/>
          <w:kern w:val="2"/>
          <w:sz w:val="32"/>
          <w:szCs w:val="32"/>
          <w:highlight w:val="none"/>
          <w:u w:val="none"/>
          <w:lang w:val="en-US" w:eastAsia="zh-CN" w:bidi="ar-SA"/>
        </w:rPr>
        <w:t>县</w:t>
      </w:r>
      <w:r>
        <w:rPr>
          <w:rFonts w:hint="eastAsia" w:ascii="Times New Roman" w:hAnsi="Times New Roman" w:eastAsia="仿宋_GB2312" w:cs="Times New Roman"/>
          <w:b w:val="0"/>
          <w:bCs w:val="0"/>
          <w:color w:val="auto"/>
          <w:kern w:val="2"/>
          <w:sz w:val="32"/>
          <w:szCs w:val="32"/>
          <w:highlight w:val="none"/>
          <w:u w:val="none"/>
          <w:lang w:val="en-US" w:eastAsia="zh-CN" w:bidi="ar-SA"/>
        </w:rPr>
        <w:t>行政审批局，负责做好建筑垃圾处理处置消纳场所的水土保持方案技术审查审批工作。</w:t>
      </w:r>
    </w:p>
    <w:p w14:paraId="3624BC87">
      <w:pPr>
        <w:pageBreakBefore w:val="0"/>
        <w:kinsoku/>
        <w:wordWrap/>
        <w:topLinePunct w:val="0"/>
        <w:bidi w:val="0"/>
        <w:spacing w:beforeAutospacing="0" w:afterAutospacing="0" w:line="560" w:lineRule="exact"/>
        <w:ind w:left="0" w:leftChars="0"/>
        <w:rPr>
          <w:rFonts w:hint="eastAsia" w:ascii="Times New Roman" w:hAnsi="Times New Roman" w:eastAsia="仿宋_GB2312" w:cs="Times New Roman"/>
          <w:b w:val="0"/>
          <w:bCs w:val="0"/>
          <w:color w:val="auto"/>
          <w:kern w:val="2"/>
          <w:sz w:val="32"/>
          <w:szCs w:val="32"/>
          <w:highlight w:val="none"/>
          <w:u w:val="none"/>
          <w:lang w:val="en-US" w:eastAsia="zh-CN" w:bidi="ar-SA"/>
        </w:rPr>
      </w:pPr>
      <w:r>
        <w:rPr>
          <w:rFonts w:hint="eastAsia" w:eastAsia="仿宋_GB2312" w:cs="Times New Roman"/>
          <w:b w:val="0"/>
          <w:bCs w:val="0"/>
          <w:color w:val="auto"/>
          <w:kern w:val="2"/>
          <w:sz w:val="32"/>
          <w:szCs w:val="32"/>
          <w:highlight w:val="none"/>
          <w:u w:val="none"/>
          <w:lang w:val="en-US" w:eastAsia="zh-CN" w:bidi="ar-SA"/>
        </w:rPr>
        <w:t>县</w:t>
      </w:r>
      <w:r>
        <w:rPr>
          <w:rFonts w:hint="eastAsia" w:ascii="Times New Roman" w:hAnsi="Times New Roman" w:eastAsia="仿宋_GB2312" w:cs="Times New Roman"/>
          <w:b w:val="0"/>
          <w:bCs w:val="0"/>
          <w:color w:val="auto"/>
          <w:kern w:val="2"/>
          <w:sz w:val="32"/>
          <w:szCs w:val="32"/>
          <w:highlight w:val="none"/>
          <w:u w:val="none"/>
          <w:lang w:val="en-US" w:eastAsia="zh-CN" w:bidi="ar-SA"/>
        </w:rPr>
        <w:t>农业农村局：负责农村基础设施和乡村治理工程监管，指导工程渣土在农业和农村领域内的综合开发利用；负责协助做好农村建筑垃圾的规范管理工作。</w:t>
      </w:r>
    </w:p>
    <w:p w14:paraId="08E1AE6C">
      <w:pPr>
        <w:pageBreakBefore w:val="0"/>
        <w:kinsoku/>
        <w:wordWrap/>
        <w:topLinePunct w:val="0"/>
        <w:bidi w:val="0"/>
        <w:spacing w:beforeAutospacing="0" w:afterAutospacing="0" w:line="560" w:lineRule="exact"/>
        <w:ind w:left="0" w:leftChars="0"/>
        <w:rPr>
          <w:rFonts w:hint="eastAsia" w:ascii="Times New Roman" w:hAnsi="Times New Roman" w:eastAsia="仿宋_GB2312" w:cs="Times New Roman"/>
          <w:b w:val="0"/>
          <w:bCs w:val="0"/>
          <w:color w:val="auto"/>
          <w:kern w:val="2"/>
          <w:sz w:val="32"/>
          <w:szCs w:val="32"/>
          <w:highlight w:val="none"/>
          <w:u w:val="none"/>
          <w:lang w:val="en-US" w:eastAsia="zh-CN" w:bidi="ar-SA"/>
        </w:rPr>
      </w:pPr>
      <w:r>
        <w:rPr>
          <w:rFonts w:hint="eastAsia" w:eastAsia="仿宋_GB2312" w:cs="Times New Roman"/>
          <w:b w:val="0"/>
          <w:bCs w:val="0"/>
          <w:color w:val="auto"/>
          <w:kern w:val="2"/>
          <w:sz w:val="32"/>
          <w:szCs w:val="32"/>
          <w:highlight w:val="none"/>
          <w:u w:val="none"/>
          <w:lang w:val="en-US" w:eastAsia="zh-CN" w:bidi="ar-SA"/>
        </w:rPr>
        <w:t>县</w:t>
      </w:r>
      <w:r>
        <w:rPr>
          <w:rFonts w:hint="eastAsia" w:ascii="Times New Roman" w:hAnsi="Times New Roman" w:eastAsia="仿宋_GB2312" w:cs="Times New Roman"/>
          <w:b w:val="0"/>
          <w:bCs w:val="0"/>
          <w:color w:val="auto"/>
          <w:kern w:val="2"/>
          <w:sz w:val="32"/>
          <w:szCs w:val="32"/>
          <w:highlight w:val="none"/>
          <w:u w:val="none"/>
          <w:lang w:val="en-US" w:eastAsia="zh-CN" w:bidi="ar-SA"/>
        </w:rPr>
        <w:t>文化体育广电和旅游局：负责监管文旅行业内的建筑垃圾处置行为，确保相关单位和个人按照规定进行建筑垃圾分类、收集、运输和处理；与相关部门配合协调，共同推进文旅场所的建筑垃圾治理工作。</w:t>
      </w:r>
    </w:p>
    <w:p w14:paraId="276D8C40">
      <w:pPr>
        <w:pageBreakBefore w:val="0"/>
        <w:kinsoku/>
        <w:wordWrap/>
        <w:topLinePunct w:val="0"/>
        <w:bidi w:val="0"/>
        <w:spacing w:beforeAutospacing="0" w:afterAutospacing="0" w:line="560" w:lineRule="exact"/>
        <w:ind w:left="0" w:leftChars="0"/>
        <w:rPr>
          <w:rFonts w:hint="eastAsia" w:ascii="Times New Roman" w:hAnsi="Times New Roman" w:eastAsia="仿宋_GB2312" w:cs="Times New Roman"/>
          <w:b w:val="0"/>
          <w:bCs w:val="0"/>
          <w:color w:val="auto"/>
          <w:kern w:val="2"/>
          <w:sz w:val="32"/>
          <w:szCs w:val="32"/>
          <w:highlight w:val="none"/>
          <w:u w:val="none"/>
          <w:lang w:val="en-US" w:eastAsia="zh-CN" w:bidi="ar-SA"/>
        </w:rPr>
      </w:pPr>
      <w:r>
        <w:rPr>
          <w:rFonts w:hint="eastAsia" w:eastAsia="仿宋_GB2312" w:cs="Times New Roman"/>
          <w:b w:val="0"/>
          <w:bCs w:val="0"/>
          <w:color w:val="auto"/>
          <w:kern w:val="2"/>
          <w:sz w:val="32"/>
          <w:szCs w:val="32"/>
          <w:highlight w:val="none"/>
          <w:u w:val="none"/>
          <w:lang w:val="en-US" w:eastAsia="zh-CN" w:bidi="ar-SA"/>
        </w:rPr>
        <w:t>县</w:t>
      </w:r>
      <w:r>
        <w:rPr>
          <w:rFonts w:hint="eastAsia" w:ascii="Times New Roman" w:hAnsi="Times New Roman" w:eastAsia="仿宋_GB2312" w:cs="Times New Roman"/>
          <w:b w:val="0"/>
          <w:bCs w:val="0"/>
          <w:color w:val="auto"/>
          <w:kern w:val="2"/>
          <w:sz w:val="32"/>
          <w:szCs w:val="32"/>
          <w:highlight w:val="none"/>
          <w:u w:val="none"/>
          <w:lang w:val="en-US" w:eastAsia="zh-CN" w:bidi="ar-SA"/>
        </w:rPr>
        <w:t>市场监督管理局：负责指导建筑垃圾资源化利用企业建立健全质量保证体系，加大再生产品的市场抽检力度。</w:t>
      </w:r>
    </w:p>
    <w:p w14:paraId="7842F448">
      <w:pPr>
        <w:pageBreakBefore w:val="0"/>
        <w:kinsoku/>
        <w:wordWrap/>
        <w:topLinePunct w:val="0"/>
        <w:bidi w:val="0"/>
        <w:spacing w:beforeAutospacing="0" w:afterAutospacing="0" w:line="560" w:lineRule="exact"/>
        <w:ind w:left="0" w:leftChars="0"/>
        <w:rPr>
          <w:rFonts w:hint="eastAsia" w:ascii="Times New Roman" w:hAnsi="Times New Roman" w:eastAsia="仿宋_GB2312" w:cs="Times New Roman"/>
          <w:b w:val="0"/>
          <w:bCs w:val="0"/>
          <w:color w:val="auto"/>
          <w:kern w:val="2"/>
          <w:sz w:val="32"/>
          <w:szCs w:val="32"/>
          <w:highlight w:val="none"/>
          <w:u w:val="none"/>
          <w:lang w:val="en-US" w:eastAsia="zh-CN" w:bidi="ar-SA"/>
        </w:rPr>
      </w:pPr>
      <w:r>
        <w:rPr>
          <w:rFonts w:hint="eastAsia" w:eastAsia="仿宋_GB2312" w:cs="Times New Roman"/>
          <w:b w:val="0"/>
          <w:bCs w:val="0"/>
          <w:color w:val="auto"/>
          <w:kern w:val="2"/>
          <w:sz w:val="32"/>
          <w:szCs w:val="32"/>
          <w:highlight w:val="none"/>
          <w:u w:val="none"/>
          <w:lang w:val="en-US" w:eastAsia="zh-CN" w:bidi="ar-SA"/>
        </w:rPr>
        <w:t>县</w:t>
      </w:r>
      <w:r>
        <w:rPr>
          <w:rFonts w:hint="eastAsia" w:ascii="Times New Roman" w:hAnsi="Times New Roman" w:eastAsia="仿宋_GB2312" w:cs="Times New Roman"/>
          <w:b w:val="0"/>
          <w:bCs w:val="0"/>
          <w:color w:val="auto"/>
          <w:kern w:val="2"/>
          <w:sz w:val="32"/>
          <w:szCs w:val="32"/>
          <w:highlight w:val="none"/>
          <w:u w:val="none"/>
          <w:lang w:val="en-US" w:eastAsia="zh-CN" w:bidi="ar-SA"/>
        </w:rPr>
        <w:t>林业局：负责监督和管理林地范围内的建筑垃圾违法倾倒占用林地的行为，保护林地生态环境不受破坏。</w:t>
      </w:r>
    </w:p>
    <w:p w14:paraId="75F5C5AD">
      <w:pPr>
        <w:pageBreakBefore w:val="0"/>
        <w:kinsoku/>
        <w:wordWrap/>
        <w:topLinePunct w:val="0"/>
        <w:bidi w:val="0"/>
        <w:spacing w:beforeAutospacing="0" w:afterAutospacing="0" w:line="560" w:lineRule="exact"/>
        <w:ind w:left="0" w:leftChars="0"/>
        <w:rPr>
          <w:rFonts w:hint="eastAsia" w:ascii="Times New Roman" w:hAnsi="Times New Roman" w:eastAsia="仿宋_GB2312" w:cs="Times New Roman"/>
          <w:b w:val="0"/>
          <w:bCs w:val="0"/>
          <w:color w:val="auto"/>
          <w:kern w:val="2"/>
          <w:sz w:val="32"/>
          <w:szCs w:val="32"/>
          <w:highlight w:val="none"/>
          <w:u w:val="none"/>
          <w:lang w:val="en-US" w:eastAsia="zh-CN" w:bidi="ar-SA"/>
        </w:rPr>
      </w:pPr>
      <w:r>
        <w:rPr>
          <w:rFonts w:hint="eastAsia" w:ascii="Times New Roman" w:hAnsi="Times New Roman" w:eastAsia="仿宋_GB2312" w:cs="Times New Roman"/>
          <w:b w:val="0"/>
          <w:bCs w:val="0"/>
          <w:color w:val="auto"/>
          <w:kern w:val="2"/>
          <w:sz w:val="32"/>
          <w:szCs w:val="32"/>
          <w:highlight w:val="none"/>
          <w:u w:val="none"/>
          <w:lang w:val="en-US" w:eastAsia="zh-CN" w:bidi="ar-SA"/>
        </w:rPr>
        <w:t>县行政审批局：负责权限范围内的城市建筑垃圾处置核准、建筑工程施工许可等事项的审批工作，及时向行业主管部门通报审批信息，实现信息共享；配合相关单位做好建筑垃圾管理工作。</w:t>
      </w:r>
    </w:p>
    <w:p w14:paraId="3FD8C877">
      <w:pPr>
        <w:pageBreakBefore w:val="0"/>
        <w:kinsoku/>
        <w:wordWrap/>
        <w:topLinePunct w:val="0"/>
        <w:bidi w:val="0"/>
        <w:spacing w:beforeAutospacing="0" w:afterAutospacing="0" w:line="560" w:lineRule="exact"/>
        <w:ind w:left="0" w:leftChars="0"/>
        <w:rPr>
          <w:rFonts w:hint="eastAsia" w:ascii="Times New Roman" w:hAnsi="Times New Roman" w:eastAsia="仿宋_GB2312" w:cs="Times New Roman"/>
          <w:b w:val="0"/>
          <w:bCs w:val="0"/>
          <w:color w:val="auto"/>
          <w:kern w:val="2"/>
          <w:sz w:val="32"/>
          <w:szCs w:val="32"/>
          <w:highlight w:val="none"/>
          <w:u w:val="none"/>
          <w:lang w:val="en-US" w:eastAsia="zh-CN" w:bidi="ar-SA"/>
        </w:rPr>
      </w:pPr>
      <w:r>
        <w:rPr>
          <w:rFonts w:hint="eastAsia" w:eastAsia="仿宋_GB2312" w:cs="Times New Roman"/>
          <w:b w:val="0"/>
          <w:bCs w:val="0"/>
          <w:color w:val="auto"/>
          <w:kern w:val="2"/>
          <w:sz w:val="32"/>
          <w:szCs w:val="32"/>
          <w:highlight w:val="none"/>
          <w:u w:val="none"/>
          <w:lang w:val="en-US" w:eastAsia="zh-CN" w:bidi="ar-SA"/>
        </w:rPr>
        <w:t>融安</w:t>
      </w:r>
      <w:r>
        <w:rPr>
          <w:rFonts w:hint="eastAsia" w:ascii="Times New Roman" w:hAnsi="Times New Roman" w:eastAsia="仿宋_GB2312" w:cs="Times New Roman"/>
          <w:b w:val="0"/>
          <w:bCs w:val="0"/>
          <w:color w:val="auto"/>
          <w:kern w:val="2"/>
          <w:sz w:val="32"/>
          <w:szCs w:val="32"/>
          <w:highlight w:val="none"/>
          <w:u w:val="none"/>
          <w:lang w:val="en-US" w:eastAsia="zh-CN" w:bidi="ar-SA"/>
        </w:rPr>
        <w:t>生态环境局：负责项目建设和运营期间环境保护措施落实情况的监管，协助做好建筑垃圾处理处置消纳场所的环评审批工作。</w:t>
      </w:r>
    </w:p>
    <w:p w14:paraId="54D6DB45">
      <w:pPr>
        <w:pageBreakBefore w:val="0"/>
        <w:kinsoku/>
        <w:wordWrap/>
        <w:topLinePunct w:val="0"/>
        <w:bidi w:val="0"/>
        <w:spacing w:beforeAutospacing="0" w:afterAutospacing="0" w:line="560" w:lineRule="exact"/>
        <w:ind w:left="0" w:leftChars="0"/>
        <w:rPr>
          <w:rFonts w:hint="eastAsia" w:ascii="Times New Roman" w:hAnsi="Times New Roman" w:eastAsia="仿宋_GB2312" w:cs="Times New Roman"/>
          <w:b w:val="0"/>
          <w:bCs w:val="0"/>
          <w:color w:val="auto"/>
          <w:kern w:val="2"/>
          <w:sz w:val="32"/>
          <w:szCs w:val="32"/>
          <w:highlight w:val="none"/>
          <w:u w:val="none"/>
          <w:lang w:val="en-US" w:eastAsia="zh-CN" w:bidi="ar-SA"/>
        </w:rPr>
      </w:pPr>
      <w:r>
        <w:rPr>
          <w:rFonts w:hint="eastAsia" w:ascii="Times New Roman" w:hAnsi="Times New Roman" w:eastAsia="仿宋_GB2312" w:cs="Times New Roman"/>
          <w:b w:val="0"/>
          <w:bCs w:val="0"/>
          <w:color w:val="auto"/>
          <w:kern w:val="2"/>
          <w:sz w:val="32"/>
          <w:szCs w:val="32"/>
          <w:highlight w:val="none"/>
          <w:u w:val="none"/>
          <w:lang w:val="en-US" w:eastAsia="zh-CN" w:bidi="ar-SA"/>
        </w:rPr>
        <w:t>其他相关单位：按照职责做好各自建筑垃圾管理相关工作。</w:t>
      </w:r>
    </w:p>
    <w:p w14:paraId="087E3609">
      <w:pPr>
        <w:pStyle w:val="3"/>
        <w:pageBreakBefore w:val="0"/>
        <w:kinsoku/>
        <w:wordWrap/>
        <w:topLinePunct w:val="0"/>
        <w:bidi w:val="0"/>
        <w:spacing w:beforeAutospacing="0" w:afterAutospacing="0" w:line="560" w:lineRule="exact"/>
        <w:ind w:left="0" w:leftChars="0"/>
        <w:rPr>
          <w:rFonts w:hint="eastAsia" w:ascii="Times New Roman" w:hAnsi="Times New Roman" w:eastAsia="仿宋_GB2312" w:cs="Times New Roman"/>
          <w:b w:val="0"/>
          <w:bCs w:val="0"/>
          <w:color w:val="auto"/>
          <w:kern w:val="2"/>
          <w:sz w:val="32"/>
          <w:szCs w:val="32"/>
          <w:highlight w:val="none"/>
          <w:u w:val="none"/>
          <w:lang w:val="en-US" w:eastAsia="zh-CN" w:bidi="ar-SA"/>
        </w:rPr>
      </w:pPr>
      <w:bookmarkStart w:id="109" w:name="_Toc21611"/>
      <w:bookmarkStart w:id="110" w:name="_Toc11490"/>
      <w:r>
        <w:rPr>
          <w:rFonts w:hint="eastAsia" w:ascii="Times New Roman" w:hAnsi="Times New Roman" w:eastAsia="仿宋_GB2312" w:cs="Times New Roman"/>
          <w:b w:val="0"/>
          <w:bCs w:val="0"/>
          <w:color w:val="auto"/>
          <w:kern w:val="2"/>
          <w:sz w:val="32"/>
          <w:szCs w:val="32"/>
          <w:highlight w:val="none"/>
          <w:u w:val="none"/>
          <w:lang w:val="en-US" w:eastAsia="zh-CN" w:bidi="ar-SA"/>
        </w:rPr>
        <w:t xml:space="preserve">    </w:t>
      </w:r>
      <w:bookmarkStart w:id="111" w:name="_Toc19210"/>
      <w:bookmarkStart w:id="112" w:name="_Toc9660"/>
      <w:r>
        <w:rPr>
          <w:rFonts w:hint="eastAsia" w:ascii="楷体_GB2312" w:hAnsi="楷体_GB2312" w:eastAsia="楷体_GB2312" w:cs="楷体_GB2312"/>
          <w:b w:val="0"/>
          <w:bCs w:val="0"/>
          <w:color w:val="auto"/>
          <w:kern w:val="2"/>
          <w:sz w:val="32"/>
          <w:szCs w:val="32"/>
          <w:highlight w:val="none"/>
          <w:u w:val="none"/>
          <w:lang w:val="en-US" w:eastAsia="zh-CN" w:bidi="ar-SA"/>
        </w:rPr>
        <w:t>（三）制度完善</w:t>
      </w:r>
      <w:bookmarkEnd w:id="109"/>
      <w:bookmarkEnd w:id="111"/>
      <w:bookmarkEnd w:id="112"/>
    </w:p>
    <w:p w14:paraId="0AA4AB8A">
      <w:pPr>
        <w:pageBreakBefore w:val="0"/>
        <w:kinsoku/>
        <w:wordWrap/>
        <w:topLinePunct w:val="0"/>
        <w:bidi w:val="0"/>
        <w:spacing w:beforeAutospacing="0" w:afterAutospacing="0" w:line="560" w:lineRule="exact"/>
        <w:ind w:left="0" w:leftChars="0"/>
        <w:rPr>
          <w:rFonts w:hint="eastAsia" w:ascii="Times New Roman" w:hAnsi="Times New Roman" w:eastAsia="仿宋_GB2312" w:cs="Times New Roman"/>
          <w:b w:val="0"/>
          <w:bCs w:val="0"/>
          <w:color w:val="auto"/>
          <w:kern w:val="2"/>
          <w:sz w:val="32"/>
          <w:szCs w:val="32"/>
          <w:highlight w:val="none"/>
          <w:u w:val="none"/>
          <w:lang w:val="en-US" w:eastAsia="zh-CN" w:bidi="ar-SA"/>
        </w:rPr>
      </w:pPr>
      <w:r>
        <w:rPr>
          <w:rFonts w:hint="eastAsia" w:ascii="Times New Roman" w:hAnsi="Times New Roman" w:eastAsia="仿宋_GB2312" w:cs="Times New Roman"/>
          <w:b w:val="0"/>
          <w:bCs w:val="0"/>
          <w:color w:val="auto"/>
          <w:kern w:val="2"/>
          <w:sz w:val="32"/>
          <w:szCs w:val="32"/>
          <w:highlight w:val="none"/>
          <w:u w:val="none"/>
          <w:lang w:val="en-US" w:eastAsia="zh-CN" w:bidi="ar-SA"/>
        </w:rPr>
        <w:t>分类管理制度。依据《建筑垃圾就地分类及处理技术标准》《建筑垃圾分类收集技术规程》，结合融安县实际情况，加快研究制定建筑垃圾分类存放、分类运输的标准和分类设施的设置规范。</w:t>
      </w:r>
      <w:r>
        <w:rPr>
          <w:rFonts w:hint="eastAsia" w:eastAsia="仿宋_GB2312" w:cs="Times New Roman"/>
          <w:b w:val="0"/>
          <w:bCs w:val="0"/>
          <w:color w:val="auto"/>
          <w:kern w:val="2"/>
          <w:sz w:val="32"/>
          <w:szCs w:val="32"/>
          <w:highlight w:val="none"/>
          <w:u w:val="none"/>
          <w:lang w:val="en-US" w:eastAsia="zh-CN" w:bidi="ar-SA"/>
        </w:rPr>
        <w:t>主管部门</w:t>
      </w:r>
      <w:r>
        <w:rPr>
          <w:rFonts w:hint="eastAsia" w:ascii="Times New Roman" w:hAnsi="Times New Roman" w:eastAsia="仿宋_GB2312" w:cs="Times New Roman"/>
          <w:b w:val="0"/>
          <w:bCs w:val="0"/>
          <w:color w:val="auto"/>
          <w:kern w:val="2"/>
          <w:sz w:val="32"/>
          <w:szCs w:val="32"/>
          <w:highlight w:val="none"/>
          <w:u w:val="none"/>
          <w:lang w:val="en-US" w:eastAsia="zh-CN" w:bidi="ar-SA"/>
        </w:rPr>
        <w:t>将施工工地建筑垃圾分类存放和密闭储存工作要求纳入绿色达标工地考核内容，促进源头分类，规范运输与处理。</w:t>
      </w:r>
    </w:p>
    <w:p w14:paraId="7D85267E">
      <w:pPr>
        <w:pageBreakBefore w:val="0"/>
        <w:kinsoku/>
        <w:wordWrap/>
        <w:topLinePunct w:val="0"/>
        <w:bidi w:val="0"/>
        <w:spacing w:beforeAutospacing="0" w:afterAutospacing="0" w:line="560" w:lineRule="exact"/>
        <w:ind w:left="0" w:leftChars="0"/>
        <w:rPr>
          <w:rFonts w:hint="eastAsia" w:ascii="Times New Roman" w:hAnsi="Times New Roman" w:eastAsia="仿宋_GB2312" w:cs="Times New Roman"/>
          <w:b w:val="0"/>
          <w:bCs w:val="0"/>
          <w:color w:val="auto"/>
          <w:kern w:val="2"/>
          <w:sz w:val="32"/>
          <w:szCs w:val="32"/>
          <w:highlight w:val="none"/>
          <w:u w:val="none"/>
          <w:lang w:val="en-US" w:eastAsia="zh-CN" w:bidi="ar-SA"/>
        </w:rPr>
      </w:pPr>
      <w:r>
        <w:rPr>
          <w:rFonts w:hint="eastAsia" w:ascii="Times New Roman" w:hAnsi="Times New Roman" w:eastAsia="仿宋_GB2312" w:cs="Times New Roman"/>
          <w:b w:val="0"/>
          <w:bCs w:val="0"/>
          <w:color w:val="auto"/>
          <w:kern w:val="2"/>
          <w:sz w:val="32"/>
          <w:szCs w:val="32"/>
          <w:highlight w:val="none"/>
          <w:u w:val="none"/>
          <w:lang w:val="en-US" w:eastAsia="zh-CN" w:bidi="ar-SA"/>
        </w:rPr>
        <w:t>全过程监管制度。县综合行政执法局要会同</w:t>
      </w:r>
      <w:r>
        <w:rPr>
          <w:rFonts w:hint="eastAsia" w:eastAsia="仿宋_GB2312" w:cs="Times New Roman"/>
          <w:b w:val="0"/>
          <w:bCs w:val="0"/>
          <w:color w:val="auto"/>
          <w:kern w:val="2"/>
          <w:sz w:val="32"/>
          <w:szCs w:val="32"/>
          <w:highlight w:val="none"/>
          <w:u w:val="none"/>
          <w:lang w:val="en-US" w:eastAsia="zh-CN" w:bidi="ar-SA"/>
        </w:rPr>
        <w:t>县公安局、县交通运输局</w:t>
      </w:r>
      <w:r>
        <w:rPr>
          <w:rFonts w:hint="eastAsia" w:ascii="Times New Roman" w:hAnsi="Times New Roman" w:eastAsia="仿宋_GB2312" w:cs="Times New Roman"/>
          <w:b w:val="0"/>
          <w:bCs w:val="0"/>
          <w:color w:val="auto"/>
          <w:kern w:val="2"/>
          <w:sz w:val="32"/>
          <w:szCs w:val="32"/>
          <w:highlight w:val="none"/>
          <w:u w:val="none"/>
          <w:lang w:val="en-US" w:eastAsia="zh-CN" w:bidi="ar-SA"/>
        </w:rPr>
        <w:t>等部门建立全面覆盖、资源共享、实时监管的建筑垃圾监管和供需信息平台，实现建筑垃圾产生、运输及消纳处置全过程的便捷、有效管理，加强市场调节功能，实现</w:t>
      </w:r>
      <w:r>
        <w:rPr>
          <w:rFonts w:hint="eastAsia" w:eastAsia="仿宋_GB2312" w:cs="Times New Roman"/>
          <w:b w:val="0"/>
          <w:bCs w:val="0"/>
          <w:color w:val="auto"/>
          <w:kern w:val="2"/>
          <w:sz w:val="32"/>
          <w:szCs w:val="32"/>
          <w:highlight w:val="none"/>
          <w:u w:val="none"/>
          <w:lang w:val="en-US" w:eastAsia="zh-CN" w:bidi="ar-SA"/>
        </w:rPr>
        <w:t>建筑</w:t>
      </w:r>
      <w:r>
        <w:rPr>
          <w:rFonts w:hint="eastAsia" w:ascii="Times New Roman" w:hAnsi="Times New Roman" w:eastAsia="仿宋_GB2312" w:cs="Times New Roman"/>
          <w:b w:val="0"/>
          <w:bCs w:val="0"/>
          <w:color w:val="auto"/>
          <w:kern w:val="2"/>
          <w:sz w:val="32"/>
          <w:szCs w:val="32"/>
          <w:highlight w:val="none"/>
          <w:u w:val="none"/>
          <w:lang w:val="en-US" w:eastAsia="zh-CN" w:bidi="ar-SA"/>
        </w:rPr>
        <w:t>垃圾的平衡消纳，资源最大化。</w:t>
      </w:r>
    </w:p>
    <w:p w14:paraId="7B8EF3FD">
      <w:pPr>
        <w:pageBreakBefore w:val="0"/>
        <w:kinsoku/>
        <w:wordWrap/>
        <w:topLinePunct w:val="0"/>
        <w:bidi w:val="0"/>
        <w:spacing w:beforeAutospacing="0" w:afterAutospacing="0" w:line="560" w:lineRule="exact"/>
        <w:ind w:left="0" w:leftChars="0"/>
        <w:rPr>
          <w:rFonts w:hint="eastAsia" w:ascii="Times New Roman" w:hAnsi="Times New Roman" w:eastAsia="仿宋_GB2312" w:cs="Times New Roman"/>
          <w:b w:val="0"/>
          <w:bCs w:val="0"/>
          <w:color w:val="auto"/>
          <w:kern w:val="2"/>
          <w:sz w:val="32"/>
          <w:szCs w:val="32"/>
          <w:highlight w:val="none"/>
          <w:u w:val="none"/>
          <w:lang w:val="en-US" w:eastAsia="zh-CN" w:bidi="ar-SA"/>
        </w:rPr>
      </w:pPr>
      <w:r>
        <w:rPr>
          <w:rFonts w:hint="eastAsia" w:ascii="Times New Roman" w:hAnsi="Times New Roman" w:eastAsia="仿宋_GB2312" w:cs="Times New Roman"/>
          <w:b w:val="0"/>
          <w:bCs w:val="0"/>
          <w:color w:val="auto"/>
          <w:kern w:val="2"/>
          <w:sz w:val="32"/>
          <w:szCs w:val="32"/>
          <w:highlight w:val="none"/>
          <w:u w:val="none"/>
          <w:lang w:val="en-US" w:eastAsia="zh-CN" w:bidi="ar-SA"/>
        </w:rPr>
        <w:t>电子转移联单制度。加强建筑垃圾转移全过程的实时监控，有效防范环境污染，及时制定电子转移联单制度。加强对建筑垃圾全过程产生、收集、贮存、运输、利用、处置单位的监督管理，实现管理闭环和追溯管控。</w:t>
      </w:r>
    </w:p>
    <w:p w14:paraId="566ED4FC">
      <w:pPr>
        <w:pageBreakBefore w:val="0"/>
        <w:kinsoku/>
        <w:wordWrap/>
        <w:topLinePunct w:val="0"/>
        <w:bidi w:val="0"/>
        <w:spacing w:beforeAutospacing="0" w:afterAutospacing="0" w:line="560" w:lineRule="exact"/>
        <w:ind w:left="0" w:leftChars="0"/>
        <w:rPr>
          <w:rFonts w:hint="eastAsia" w:ascii="Times New Roman" w:hAnsi="Times New Roman" w:eastAsia="仿宋_GB2312" w:cs="Times New Roman"/>
          <w:b w:val="0"/>
          <w:bCs w:val="0"/>
          <w:color w:val="auto"/>
          <w:kern w:val="2"/>
          <w:sz w:val="32"/>
          <w:szCs w:val="32"/>
          <w:highlight w:val="none"/>
          <w:u w:val="none"/>
          <w:lang w:val="en-US" w:eastAsia="zh-CN" w:bidi="ar-SA"/>
        </w:rPr>
      </w:pPr>
      <w:r>
        <w:rPr>
          <w:rFonts w:hint="eastAsia" w:ascii="Times New Roman" w:hAnsi="Times New Roman" w:eastAsia="仿宋_GB2312" w:cs="Times New Roman"/>
          <w:b w:val="0"/>
          <w:bCs w:val="0"/>
          <w:color w:val="auto"/>
          <w:kern w:val="2"/>
          <w:sz w:val="32"/>
          <w:szCs w:val="32"/>
          <w:highlight w:val="none"/>
          <w:u w:val="none"/>
          <w:lang w:val="en-US" w:eastAsia="zh-CN" w:bidi="ar-SA"/>
        </w:rPr>
        <w:t>综合利用产品推广应用制度。研究出台建筑垃圾再生产品应用推广政策，出台政府补贴和绿色审批，建立产品标准体系，加强监管，全面推广建筑垃圾再生产品应用，积极构筑建筑垃圾资源化利用产业体系。</w:t>
      </w:r>
    </w:p>
    <w:p w14:paraId="031786A2">
      <w:pPr>
        <w:pageBreakBefore w:val="0"/>
        <w:kinsoku/>
        <w:wordWrap/>
        <w:topLinePunct w:val="0"/>
        <w:bidi w:val="0"/>
        <w:spacing w:beforeAutospacing="0" w:afterAutospacing="0" w:line="560" w:lineRule="exact"/>
        <w:ind w:left="0" w:leftChars="0"/>
        <w:rPr>
          <w:rFonts w:hint="eastAsia" w:ascii="Times New Roman" w:hAnsi="Times New Roman" w:eastAsia="仿宋_GB2312" w:cs="Times New Roman"/>
          <w:b w:val="0"/>
          <w:bCs w:val="0"/>
          <w:color w:val="auto"/>
          <w:kern w:val="2"/>
          <w:sz w:val="32"/>
          <w:szCs w:val="32"/>
          <w:highlight w:val="none"/>
          <w:u w:val="none"/>
          <w:lang w:val="en-US" w:eastAsia="zh-CN" w:bidi="ar-SA"/>
        </w:rPr>
      </w:pPr>
      <w:r>
        <w:rPr>
          <w:rFonts w:hint="eastAsia" w:ascii="Times New Roman" w:hAnsi="Times New Roman" w:eastAsia="仿宋_GB2312" w:cs="Times New Roman"/>
          <w:b w:val="0"/>
          <w:bCs w:val="0"/>
          <w:color w:val="auto"/>
          <w:kern w:val="2"/>
          <w:sz w:val="32"/>
          <w:szCs w:val="32"/>
          <w:highlight w:val="none"/>
          <w:u w:val="none"/>
          <w:lang w:val="en-US" w:eastAsia="zh-CN" w:bidi="ar-SA"/>
        </w:rPr>
        <w:t>生态环境补偿制度（付费制度）。按照</w:t>
      </w:r>
      <w:r>
        <w:rPr>
          <w:rFonts w:hint="eastAsia" w:ascii="仿宋_GB2312" w:hAnsi="仿宋_GB2312" w:eastAsia="仿宋_GB2312" w:cs="仿宋_GB2312"/>
          <w:b w:val="0"/>
          <w:bCs w:val="0"/>
          <w:color w:val="auto"/>
          <w:kern w:val="2"/>
          <w:sz w:val="32"/>
          <w:szCs w:val="32"/>
          <w:highlight w:val="none"/>
          <w:u w:val="none"/>
          <w:lang w:val="en-US" w:eastAsia="zh-CN" w:bidi="ar-SA"/>
        </w:rPr>
        <w:t>“</w:t>
      </w:r>
      <w:r>
        <w:rPr>
          <w:rFonts w:hint="eastAsia" w:ascii="Times New Roman" w:hAnsi="Times New Roman" w:eastAsia="仿宋_GB2312" w:cs="Times New Roman"/>
          <w:b w:val="0"/>
          <w:bCs w:val="0"/>
          <w:color w:val="auto"/>
          <w:kern w:val="2"/>
          <w:sz w:val="32"/>
          <w:szCs w:val="32"/>
          <w:highlight w:val="none"/>
          <w:u w:val="none"/>
          <w:lang w:val="en-US" w:eastAsia="zh-CN" w:bidi="ar-SA"/>
        </w:rPr>
        <w:t>谁产生谁治理、谁污染谁付费</w:t>
      </w:r>
      <w:r>
        <w:rPr>
          <w:rFonts w:hint="eastAsia" w:ascii="仿宋_GB2312" w:hAnsi="仿宋_GB2312" w:eastAsia="仿宋_GB2312" w:cs="仿宋_GB2312"/>
          <w:b w:val="0"/>
          <w:bCs w:val="0"/>
          <w:color w:val="auto"/>
          <w:kern w:val="2"/>
          <w:sz w:val="32"/>
          <w:szCs w:val="32"/>
          <w:highlight w:val="none"/>
          <w:u w:val="none"/>
          <w:lang w:val="en-US" w:eastAsia="zh-CN" w:bidi="ar-SA"/>
        </w:rPr>
        <w:t>”</w:t>
      </w:r>
      <w:r>
        <w:rPr>
          <w:rFonts w:hint="eastAsia" w:ascii="Times New Roman" w:hAnsi="Times New Roman" w:eastAsia="仿宋_GB2312" w:cs="Times New Roman"/>
          <w:b w:val="0"/>
          <w:bCs w:val="0"/>
          <w:color w:val="auto"/>
          <w:kern w:val="2"/>
          <w:sz w:val="32"/>
          <w:szCs w:val="32"/>
          <w:highlight w:val="none"/>
          <w:u w:val="none"/>
          <w:lang w:val="en-US" w:eastAsia="zh-CN" w:bidi="ar-SA"/>
        </w:rPr>
        <w:t>的原则探索建立相关制度，引导社会资本参与建筑垃圾专用设施场地建设和投资，结合市场标准和各方协商确定收费依据，推动建筑垃圾运输和处置市场规范化发展。</w:t>
      </w:r>
    </w:p>
    <w:p w14:paraId="3B238D7A">
      <w:pPr>
        <w:pageBreakBefore w:val="0"/>
        <w:kinsoku/>
        <w:wordWrap/>
        <w:topLinePunct w:val="0"/>
        <w:bidi w:val="0"/>
        <w:spacing w:beforeAutospacing="0" w:afterAutospacing="0" w:line="560" w:lineRule="exact"/>
        <w:ind w:left="0" w:leftChars="0"/>
        <w:rPr>
          <w:rFonts w:hint="eastAsia" w:ascii="Times New Roman" w:hAnsi="Times New Roman" w:eastAsia="仿宋_GB2312" w:cs="Times New Roman"/>
          <w:b w:val="0"/>
          <w:bCs w:val="0"/>
          <w:color w:val="auto"/>
          <w:kern w:val="2"/>
          <w:sz w:val="32"/>
          <w:szCs w:val="32"/>
          <w:highlight w:val="none"/>
          <w:u w:val="none"/>
          <w:lang w:val="en-US" w:eastAsia="zh-CN" w:bidi="ar-SA"/>
        </w:rPr>
      </w:pPr>
      <w:r>
        <w:rPr>
          <w:rFonts w:hint="eastAsia" w:ascii="Times New Roman" w:hAnsi="Times New Roman" w:eastAsia="仿宋_GB2312" w:cs="Times New Roman"/>
          <w:b w:val="0"/>
          <w:bCs w:val="0"/>
          <w:color w:val="auto"/>
          <w:kern w:val="2"/>
          <w:sz w:val="32"/>
          <w:szCs w:val="32"/>
          <w:highlight w:val="none"/>
          <w:u w:val="none"/>
          <w:lang w:val="en-US" w:eastAsia="zh-CN" w:bidi="ar-SA"/>
        </w:rPr>
        <w:t>许可制。建立建筑垃圾排放、运输、消纳许可制度，要求从事建筑垃圾</w:t>
      </w:r>
      <w:r>
        <w:rPr>
          <w:rFonts w:hint="eastAsia" w:eastAsia="仿宋_GB2312" w:cs="Times New Roman"/>
          <w:b w:val="0"/>
          <w:bCs w:val="0"/>
          <w:color w:val="auto"/>
          <w:kern w:val="2"/>
          <w:sz w:val="32"/>
          <w:szCs w:val="32"/>
          <w:highlight w:val="none"/>
          <w:u w:val="none"/>
          <w:lang w:val="en-US" w:eastAsia="zh-CN" w:bidi="ar-SA"/>
        </w:rPr>
        <w:t>治理</w:t>
      </w:r>
      <w:r>
        <w:rPr>
          <w:rFonts w:hint="eastAsia" w:ascii="Times New Roman" w:hAnsi="Times New Roman" w:eastAsia="仿宋_GB2312" w:cs="Times New Roman"/>
          <w:b w:val="0"/>
          <w:bCs w:val="0"/>
          <w:color w:val="auto"/>
          <w:kern w:val="2"/>
          <w:sz w:val="32"/>
          <w:szCs w:val="32"/>
          <w:highlight w:val="none"/>
          <w:u w:val="none"/>
          <w:lang w:val="en-US" w:eastAsia="zh-CN" w:bidi="ar-SA"/>
        </w:rPr>
        <w:t>的企业按照相关规定提交申请材料，办理建筑垃圾治理许可手续，获得许可证，规范建筑垃圾治理活动。相关部门依法按时对建筑垃圾治理许可申请进行审批，加强对</w:t>
      </w:r>
      <w:r>
        <w:rPr>
          <w:rFonts w:hint="eastAsia" w:eastAsia="仿宋_GB2312" w:cs="Times New Roman"/>
          <w:b w:val="0"/>
          <w:bCs w:val="0"/>
          <w:color w:val="auto"/>
          <w:kern w:val="2"/>
          <w:sz w:val="32"/>
          <w:szCs w:val="32"/>
          <w:highlight w:val="none"/>
          <w:u w:val="none"/>
          <w:lang w:val="en-US" w:eastAsia="zh-CN" w:bidi="ar-SA"/>
        </w:rPr>
        <w:t>许可审批</w:t>
      </w:r>
      <w:r>
        <w:rPr>
          <w:rFonts w:hint="eastAsia" w:ascii="Times New Roman" w:hAnsi="Times New Roman" w:eastAsia="仿宋_GB2312" w:cs="Times New Roman"/>
          <w:b w:val="0"/>
          <w:bCs w:val="0"/>
          <w:color w:val="auto"/>
          <w:kern w:val="2"/>
          <w:sz w:val="32"/>
          <w:szCs w:val="32"/>
          <w:highlight w:val="none"/>
          <w:u w:val="none"/>
          <w:lang w:val="en-US" w:eastAsia="zh-CN" w:bidi="ar-SA"/>
        </w:rPr>
        <w:t>后的企业监督管理，并进行定期检查和评估。</w:t>
      </w:r>
    </w:p>
    <w:p w14:paraId="3BC732F3">
      <w:pPr>
        <w:pageBreakBefore w:val="0"/>
        <w:kinsoku/>
        <w:wordWrap/>
        <w:topLinePunct w:val="0"/>
        <w:bidi w:val="0"/>
        <w:spacing w:beforeAutospacing="0" w:afterAutospacing="0" w:line="560" w:lineRule="exact"/>
        <w:ind w:left="0" w:leftChars="0"/>
        <w:rPr>
          <w:rFonts w:hint="eastAsia" w:ascii="Times New Roman" w:hAnsi="Times New Roman" w:eastAsia="仿宋_GB2312" w:cs="Times New Roman"/>
          <w:b w:val="0"/>
          <w:bCs w:val="0"/>
          <w:color w:val="auto"/>
          <w:kern w:val="2"/>
          <w:sz w:val="32"/>
          <w:szCs w:val="32"/>
          <w:highlight w:val="none"/>
          <w:u w:val="none"/>
          <w:lang w:val="en-US" w:eastAsia="zh-CN" w:bidi="ar-SA"/>
        </w:rPr>
      </w:pPr>
      <w:r>
        <w:rPr>
          <w:rFonts w:hint="eastAsia" w:ascii="Times New Roman" w:hAnsi="Times New Roman" w:eastAsia="仿宋_GB2312" w:cs="Times New Roman"/>
          <w:b w:val="0"/>
          <w:bCs w:val="0"/>
          <w:color w:val="auto"/>
          <w:kern w:val="2"/>
          <w:sz w:val="32"/>
          <w:szCs w:val="32"/>
          <w:highlight w:val="none"/>
          <w:u w:val="none"/>
          <w:lang w:val="en-US" w:eastAsia="zh-CN" w:bidi="ar-SA"/>
        </w:rPr>
        <w:t>联合执法制度。加强部门联动，探索建立县</w:t>
      </w:r>
      <w:r>
        <w:rPr>
          <w:rFonts w:hint="eastAsia" w:eastAsia="仿宋_GB2312" w:cs="Times New Roman"/>
          <w:b w:val="0"/>
          <w:bCs w:val="0"/>
          <w:color w:val="auto"/>
          <w:kern w:val="2"/>
          <w:sz w:val="32"/>
          <w:szCs w:val="32"/>
          <w:highlight w:val="none"/>
          <w:u w:val="none"/>
          <w:lang w:val="en-US" w:eastAsia="zh-CN" w:bidi="ar-SA"/>
        </w:rPr>
        <w:t>住房和城乡建设</w:t>
      </w:r>
      <w:r>
        <w:rPr>
          <w:rFonts w:hint="eastAsia" w:ascii="Times New Roman" w:hAnsi="Times New Roman" w:eastAsia="仿宋_GB2312" w:cs="Times New Roman"/>
          <w:b w:val="0"/>
          <w:bCs w:val="0"/>
          <w:color w:val="auto"/>
          <w:kern w:val="2"/>
          <w:sz w:val="32"/>
          <w:szCs w:val="32"/>
          <w:highlight w:val="none"/>
          <w:u w:val="none"/>
          <w:lang w:val="en-US" w:eastAsia="zh-CN" w:bidi="ar-SA"/>
        </w:rPr>
        <w:t>局、县交通运输局、县公安局、</w:t>
      </w:r>
      <w:r>
        <w:rPr>
          <w:rFonts w:hint="eastAsia" w:eastAsia="仿宋_GB2312" w:cs="Times New Roman"/>
          <w:b w:val="0"/>
          <w:bCs w:val="0"/>
          <w:color w:val="auto"/>
          <w:kern w:val="2"/>
          <w:sz w:val="32"/>
          <w:szCs w:val="32"/>
          <w:highlight w:val="none"/>
          <w:u w:val="none"/>
          <w:lang w:val="en-US" w:eastAsia="zh-CN" w:bidi="ar-SA"/>
        </w:rPr>
        <w:t>融安</w:t>
      </w:r>
      <w:r>
        <w:rPr>
          <w:rFonts w:hint="eastAsia" w:ascii="Times New Roman" w:hAnsi="Times New Roman" w:eastAsia="仿宋_GB2312" w:cs="Times New Roman"/>
          <w:b w:val="0"/>
          <w:bCs w:val="0"/>
          <w:color w:val="auto"/>
          <w:kern w:val="2"/>
          <w:sz w:val="32"/>
          <w:szCs w:val="32"/>
          <w:highlight w:val="none"/>
          <w:u w:val="none"/>
          <w:lang w:val="en-US" w:eastAsia="zh-CN" w:bidi="ar-SA"/>
        </w:rPr>
        <w:t>生态环境局等部门联合执法机制，形成监管合力，对建筑垃圾排放—运输—处理各环节非法处置建筑垃圾行为进行查处。</w:t>
      </w:r>
    </w:p>
    <w:p w14:paraId="0C9253B0">
      <w:pPr>
        <w:pageBreakBefore w:val="0"/>
        <w:kinsoku/>
        <w:wordWrap/>
        <w:topLinePunct w:val="0"/>
        <w:bidi w:val="0"/>
        <w:spacing w:beforeAutospacing="0" w:afterAutospacing="0" w:line="560" w:lineRule="exact"/>
        <w:ind w:left="0" w:leftChars="0"/>
        <w:rPr>
          <w:rFonts w:hint="eastAsia" w:ascii="Times New Roman" w:hAnsi="Times New Roman" w:eastAsia="仿宋_GB2312" w:cs="Times New Roman"/>
          <w:b w:val="0"/>
          <w:bCs w:val="0"/>
          <w:color w:val="auto"/>
          <w:kern w:val="2"/>
          <w:sz w:val="32"/>
          <w:szCs w:val="32"/>
          <w:highlight w:val="none"/>
          <w:u w:val="none"/>
          <w:lang w:val="en-US" w:eastAsia="zh-CN" w:bidi="ar-SA"/>
        </w:rPr>
      </w:pPr>
      <w:r>
        <w:rPr>
          <w:rFonts w:hint="eastAsia" w:ascii="Times New Roman" w:hAnsi="Times New Roman" w:eastAsia="仿宋_GB2312" w:cs="Times New Roman"/>
          <w:b w:val="0"/>
          <w:bCs w:val="0"/>
          <w:color w:val="auto"/>
          <w:kern w:val="2"/>
          <w:sz w:val="32"/>
          <w:szCs w:val="32"/>
          <w:highlight w:val="none"/>
          <w:u w:val="none"/>
          <w:lang w:val="en-US" w:eastAsia="zh-CN" w:bidi="ar-SA"/>
        </w:rPr>
        <w:t>投诉举报制度。县综合行政执法局建立完善投诉举报制度，接受公众对非法处置建筑垃圾行为的投诉和举报，并</w:t>
      </w:r>
      <w:r>
        <w:rPr>
          <w:rFonts w:hint="eastAsia" w:eastAsia="仿宋_GB2312" w:cs="Times New Roman"/>
          <w:b w:val="0"/>
          <w:bCs w:val="0"/>
          <w:color w:val="auto"/>
          <w:kern w:val="2"/>
          <w:sz w:val="32"/>
          <w:szCs w:val="32"/>
          <w:highlight w:val="none"/>
          <w:u w:val="none"/>
          <w:lang w:val="en-US" w:eastAsia="zh-CN" w:bidi="ar-SA"/>
        </w:rPr>
        <w:t>对</w:t>
      </w:r>
      <w:r>
        <w:rPr>
          <w:rFonts w:hint="eastAsia" w:ascii="Times New Roman" w:hAnsi="Times New Roman" w:eastAsia="仿宋_GB2312" w:cs="Times New Roman"/>
          <w:b w:val="0"/>
          <w:bCs w:val="0"/>
          <w:color w:val="auto"/>
          <w:kern w:val="2"/>
          <w:sz w:val="32"/>
          <w:szCs w:val="32"/>
          <w:highlight w:val="none"/>
          <w:u w:val="none"/>
          <w:lang w:val="en-US" w:eastAsia="zh-CN" w:bidi="ar-SA"/>
        </w:rPr>
        <w:t>投诉人或者举报人</w:t>
      </w:r>
      <w:r>
        <w:rPr>
          <w:rFonts w:hint="eastAsia" w:eastAsia="仿宋_GB2312" w:cs="Times New Roman"/>
          <w:b w:val="0"/>
          <w:bCs w:val="0"/>
          <w:color w:val="auto"/>
          <w:kern w:val="2"/>
          <w:sz w:val="32"/>
          <w:szCs w:val="32"/>
          <w:highlight w:val="none"/>
          <w:u w:val="none"/>
          <w:lang w:val="en-US" w:eastAsia="zh-CN" w:bidi="ar-SA"/>
        </w:rPr>
        <w:t>信息</w:t>
      </w:r>
      <w:r>
        <w:rPr>
          <w:rFonts w:hint="eastAsia" w:ascii="Times New Roman" w:hAnsi="Times New Roman" w:eastAsia="仿宋_GB2312" w:cs="Times New Roman"/>
          <w:b w:val="0"/>
          <w:bCs w:val="0"/>
          <w:color w:val="auto"/>
          <w:kern w:val="2"/>
          <w:sz w:val="32"/>
          <w:szCs w:val="32"/>
          <w:highlight w:val="none"/>
          <w:u w:val="none"/>
          <w:lang w:val="en-US" w:eastAsia="zh-CN" w:bidi="ar-SA"/>
        </w:rPr>
        <w:t>保密。对群众举报、媒体曝光、上级部门转办或其他部门移交查处的施工车辆撒漏、乱倒案件等及时调查处理，对责任单位书面责成其限时清理，并及时消除影响和隐患。</w:t>
      </w:r>
    </w:p>
    <w:p w14:paraId="6903DBC0">
      <w:pPr>
        <w:pStyle w:val="3"/>
        <w:pageBreakBefore w:val="0"/>
        <w:kinsoku/>
        <w:wordWrap/>
        <w:topLinePunct w:val="0"/>
        <w:bidi w:val="0"/>
        <w:spacing w:beforeAutospacing="0" w:afterAutospacing="0" w:line="560" w:lineRule="exact"/>
        <w:ind w:left="0" w:leftChars="0"/>
        <w:rPr>
          <w:rFonts w:hint="eastAsia" w:ascii="Times New Roman" w:hAnsi="Times New Roman" w:eastAsia="仿宋_GB2312" w:cs="Times New Roman"/>
          <w:b w:val="0"/>
          <w:bCs w:val="0"/>
          <w:color w:val="auto"/>
          <w:kern w:val="2"/>
          <w:sz w:val="32"/>
          <w:szCs w:val="32"/>
          <w:highlight w:val="none"/>
          <w:u w:val="none"/>
          <w:lang w:val="en-US" w:eastAsia="zh-CN" w:bidi="ar-SA"/>
        </w:rPr>
      </w:pPr>
      <w:r>
        <w:rPr>
          <w:rFonts w:hint="eastAsia" w:ascii="Times New Roman" w:hAnsi="Times New Roman" w:eastAsia="仿宋_GB2312" w:cs="Times New Roman"/>
          <w:b w:val="0"/>
          <w:bCs w:val="0"/>
          <w:color w:val="auto"/>
          <w:kern w:val="2"/>
          <w:sz w:val="32"/>
          <w:szCs w:val="32"/>
          <w:highlight w:val="none"/>
          <w:u w:val="none"/>
          <w:lang w:val="en-US" w:eastAsia="zh-CN" w:bidi="ar-SA"/>
        </w:rPr>
        <w:t xml:space="preserve">    </w:t>
      </w:r>
      <w:bookmarkStart w:id="113" w:name="_Toc13029"/>
      <w:bookmarkStart w:id="114" w:name="_Toc19394"/>
      <w:r>
        <w:rPr>
          <w:rFonts w:hint="eastAsia" w:ascii="楷体_GB2312" w:hAnsi="楷体_GB2312" w:eastAsia="楷体_GB2312" w:cs="楷体_GB2312"/>
          <w:b w:val="0"/>
          <w:bCs w:val="0"/>
          <w:color w:val="auto"/>
          <w:kern w:val="2"/>
          <w:sz w:val="32"/>
          <w:szCs w:val="32"/>
          <w:highlight w:val="none"/>
          <w:u w:val="none"/>
          <w:lang w:val="en-US" w:eastAsia="zh-CN" w:bidi="ar-SA"/>
        </w:rPr>
        <w:t>（四）信息化监管</w:t>
      </w:r>
      <w:bookmarkEnd w:id="110"/>
      <w:bookmarkEnd w:id="113"/>
      <w:bookmarkEnd w:id="114"/>
    </w:p>
    <w:p w14:paraId="065EDD7E">
      <w:pPr>
        <w:pageBreakBefore w:val="0"/>
        <w:kinsoku/>
        <w:wordWrap/>
        <w:topLinePunct w:val="0"/>
        <w:bidi w:val="0"/>
        <w:spacing w:beforeAutospacing="0" w:afterAutospacing="0" w:line="560" w:lineRule="exact"/>
        <w:ind w:left="0" w:leftChars="0"/>
        <w:rPr>
          <w:rFonts w:hint="eastAsia" w:ascii="Times New Roman" w:hAnsi="Times New Roman" w:eastAsia="仿宋_GB2312" w:cs="Times New Roman"/>
          <w:b w:val="0"/>
          <w:bCs w:val="0"/>
          <w:color w:val="auto"/>
          <w:kern w:val="2"/>
          <w:sz w:val="32"/>
          <w:szCs w:val="32"/>
          <w:highlight w:val="none"/>
          <w:u w:val="none"/>
          <w:lang w:val="en-US" w:eastAsia="zh-CN" w:bidi="ar-SA"/>
        </w:rPr>
      </w:pPr>
      <w:r>
        <w:rPr>
          <w:rFonts w:hint="eastAsia" w:ascii="Times New Roman" w:hAnsi="Times New Roman" w:eastAsia="仿宋_GB2312" w:cs="Times New Roman"/>
          <w:b w:val="0"/>
          <w:bCs w:val="0"/>
          <w:color w:val="auto"/>
          <w:kern w:val="2"/>
          <w:sz w:val="32"/>
          <w:szCs w:val="32"/>
          <w:highlight w:val="none"/>
          <w:u w:val="none"/>
          <w:lang w:val="en-US" w:eastAsia="zh-CN" w:bidi="ar-SA"/>
        </w:rPr>
        <w:t>实现管理部门互联互通。将</w:t>
      </w:r>
      <w:r>
        <w:rPr>
          <w:rFonts w:hint="eastAsia" w:eastAsia="仿宋_GB2312" w:cs="Times New Roman"/>
          <w:b w:val="0"/>
          <w:bCs w:val="0"/>
          <w:color w:val="auto"/>
          <w:kern w:val="2"/>
          <w:sz w:val="32"/>
          <w:szCs w:val="32"/>
          <w:highlight w:val="none"/>
          <w:u w:val="none"/>
          <w:lang w:val="en-US" w:eastAsia="zh-CN" w:bidi="ar-SA"/>
        </w:rPr>
        <w:t>县</w:t>
      </w:r>
      <w:r>
        <w:rPr>
          <w:rFonts w:hint="eastAsia" w:ascii="Times New Roman" w:hAnsi="Times New Roman" w:eastAsia="仿宋_GB2312" w:cs="Times New Roman"/>
          <w:b w:val="0"/>
          <w:bCs w:val="0"/>
          <w:color w:val="auto"/>
          <w:kern w:val="2"/>
          <w:sz w:val="32"/>
          <w:szCs w:val="32"/>
          <w:highlight w:val="none"/>
          <w:u w:val="none"/>
          <w:lang w:val="en-US" w:eastAsia="zh-CN" w:bidi="ar-SA"/>
        </w:rPr>
        <w:t>综合行政执法</w:t>
      </w:r>
      <w:r>
        <w:rPr>
          <w:rFonts w:hint="eastAsia" w:eastAsia="仿宋_GB2312" w:cs="Times New Roman"/>
          <w:b w:val="0"/>
          <w:bCs w:val="0"/>
          <w:color w:val="auto"/>
          <w:kern w:val="2"/>
          <w:sz w:val="32"/>
          <w:szCs w:val="32"/>
          <w:highlight w:val="none"/>
          <w:u w:val="none"/>
          <w:lang w:val="en-US" w:eastAsia="zh-CN" w:bidi="ar-SA"/>
        </w:rPr>
        <w:t>局</w:t>
      </w:r>
      <w:r>
        <w:rPr>
          <w:rFonts w:hint="eastAsia" w:ascii="Times New Roman" w:hAnsi="Times New Roman" w:eastAsia="仿宋_GB2312" w:cs="Times New Roman"/>
          <w:b w:val="0"/>
          <w:bCs w:val="0"/>
          <w:color w:val="auto"/>
          <w:kern w:val="2"/>
          <w:sz w:val="32"/>
          <w:szCs w:val="32"/>
          <w:highlight w:val="none"/>
          <w:u w:val="none"/>
          <w:lang w:val="en-US" w:eastAsia="zh-CN" w:bidi="ar-SA"/>
        </w:rPr>
        <w:t>、县</w:t>
      </w:r>
      <w:r>
        <w:rPr>
          <w:rFonts w:hint="eastAsia" w:eastAsia="仿宋_GB2312" w:cs="Times New Roman"/>
          <w:b w:val="0"/>
          <w:bCs w:val="0"/>
          <w:color w:val="auto"/>
          <w:kern w:val="2"/>
          <w:sz w:val="32"/>
          <w:szCs w:val="32"/>
          <w:highlight w:val="none"/>
          <w:u w:val="none"/>
          <w:lang w:val="en-US" w:eastAsia="zh-CN" w:bidi="ar-SA"/>
        </w:rPr>
        <w:t>住房和城乡建设</w:t>
      </w:r>
      <w:r>
        <w:rPr>
          <w:rFonts w:hint="eastAsia" w:ascii="Times New Roman" w:hAnsi="Times New Roman" w:eastAsia="仿宋_GB2312" w:cs="Times New Roman"/>
          <w:b w:val="0"/>
          <w:bCs w:val="0"/>
          <w:color w:val="auto"/>
          <w:kern w:val="2"/>
          <w:sz w:val="32"/>
          <w:szCs w:val="32"/>
          <w:highlight w:val="none"/>
          <w:u w:val="none"/>
          <w:lang w:val="en-US" w:eastAsia="zh-CN" w:bidi="ar-SA"/>
        </w:rPr>
        <w:t>局、</w:t>
      </w:r>
      <w:r>
        <w:rPr>
          <w:rFonts w:hint="eastAsia" w:eastAsia="仿宋_GB2312" w:cs="Times New Roman"/>
          <w:b w:val="0"/>
          <w:bCs w:val="0"/>
          <w:color w:val="auto"/>
          <w:kern w:val="2"/>
          <w:sz w:val="32"/>
          <w:szCs w:val="32"/>
          <w:highlight w:val="none"/>
          <w:u w:val="none"/>
          <w:lang w:val="en-US" w:eastAsia="zh-CN" w:bidi="ar-SA"/>
        </w:rPr>
        <w:t>县</w:t>
      </w:r>
      <w:r>
        <w:rPr>
          <w:rFonts w:hint="eastAsia" w:ascii="Times New Roman" w:hAnsi="Times New Roman" w:eastAsia="仿宋_GB2312" w:cs="Times New Roman"/>
          <w:b w:val="0"/>
          <w:bCs w:val="0"/>
          <w:color w:val="auto"/>
          <w:kern w:val="2"/>
          <w:sz w:val="32"/>
          <w:szCs w:val="32"/>
          <w:highlight w:val="none"/>
          <w:u w:val="none"/>
          <w:lang w:val="en-US" w:eastAsia="zh-CN" w:bidi="ar-SA"/>
        </w:rPr>
        <w:t>公安</w:t>
      </w:r>
      <w:r>
        <w:rPr>
          <w:rFonts w:hint="eastAsia" w:eastAsia="仿宋_GB2312" w:cs="Times New Roman"/>
          <w:b w:val="0"/>
          <w:bCs w:val="0"/>
          <w:color w:val="auto"/>
          <w:kern w:val="2"/>
          <w:sz w:val="32"/>
          <w:szCs w:val="32"/>
          <w:highlight w:val="none"/>
          <w:u w:val="none"/>
          <w:lang w:val="en-US" w:eastAsia="zh-CN" w:bidi="ar-SA"/>
        </w:rPr>
        <w:t>局</w:t>
      </w:r>
      <w:r>
        <w:rPr>
          <w:rFonts w:hint="eastAsia" w:ascii="Times New Roman" w:hAnsi="Times New Roman" w:eastAsia="仿宋_GB2312" w:cs="Times New Roman"/>
          <w:b w:val="0"/>
          <w:bCs w:val="0"/>
          <w:color w:val="auto"/>
          <w:kern w:val="2"/>
          <w:sz w:val="32"/>
          <w:szCs w:val="32"/>
          <w:highlight w:val="none"/>
          <w:u w:val="none"/>
          <w:lang w:val="en-US" w:eastAsia="zh-CN" w:bidi="ar-SA"/>
        </w:rPr>
        <w:t>、县交通运输局等部门的相关管理信息整合接入信息系统，实现各部门建设、运输、处置等全过程信息共享，推进跨职能部门的联审联批。</w:t>
      </w:r>
    </w:p>
    <w:p w14:paraId="231BA1FD">
      <w:pPr>
        <w:pageBreakBefore w:val="0"/>
        <w:kinsoku/>
        <w:wordWrap/>
        <w:topLinePunct w:val="0"/>
        <w:bidi w:val="0"/>
        <w:spacing w:beforeAutospacing="0" w:afterAutospacing="0" w:line="560" w:lineRule="exact"/>
        <w:ind w:left="0" w:leftChars="0"/>
        <w:rPr>
          <w:rFonts w:hint="eastAsia" w:ascii="Times New Roman" w:hAnsi="Times New Roman" w:eastAsia="仿宋_GB2312" w:cs="Times New Roman"/>
          <w:b w:val="0"/>
          <w:bCs w:val="0"/>
          <w:color w:val="auto"/>
          <w:kern w:val="2"/>
          <w:sz w:val="32"/>
          <w:szCs w:val="32"/>
          <w:highlight w:val="none"/>
          <w:u w:val="none"/>
          <w:lang w:val="en-US" w:eastAsia="zh-CN" w:bidi="ar-SA"/>
        </w:rPr>
      </w:pPr>
      <w:r>
        <w:rPr>
          <w:rFonts w:hint="eastAsia" w:ascii="Times New Roman" w:hAnsi="Times New Roman" w:eastAsia="仿宋_GB2312" w:cs="Times New Roman"/>
          <w:b w:val="0"/>
          <w:bCs w:val="0"/>
          <w:color w:val="auto"/>
          <w:kern w:val="2"/>
          <w:sz w:val="32"/>
          <w:szCs w:val="32"/>
          <w:highlight w:val="none"/>
          <w:u w:val="none"/>
          <w:lang w:val="en-US" w:eastAsia="zh-CN" w:bidi="ar-SA"/>
        </w:rPr>
        <w:t>全过程数字化闭合管理。依托大数据、云计算、人工智能、卫星遥感、电子联单监控等技术手段和工具，建立健全建筑垃圾多跨协同、智慧监管的数字化监管平台，加强数据智能分析和行为监测预警，实现建筑垃圾从产生到收集、运输、处理的全流程智能化、现代化管理。</w:t>
      </w:r>
    </w:p>
    <w:p w14:paraId="0E61893C">
      <w:pPr>
        <w:pageBreakBefore w:val="0"/>
        <w:kinsoku/>
        <w:wordWrap/>
        <w:topLinePunct w:val="0"/>
        <w:bidi w:val="0"/>
        <w:spacing w:beforeAutospacing="0" w:afterAutospacing="0" w:line="560" w:lineRule="exact"/>
        <w:ind w:left="0" w:leftChars="0"/>
        <w:rPr>
          <w:rFonts w:hint="eastAsia" w:ascii="Times New Roman" w:hAnsi="Times New Roman" w:eastAsia="仿宋_GB2312" w:cs="Times New Roman"/>
          <w:b w:val="0"/>
          <w:bCs w:val="0"/>
          <w:color w:val="auto"/>
          <w:kern w:val="2"/>
          <w:sz w:val="32"/>
          <w:szCs w:val="32"/>
          <w:highlight w:val="none"/>
          <w:u w:val="none"/>
          <w:lang w:val="en-US" w:eastAsia="zh-CN" w:bidi="ar-SA"/>
        </w:rPr>
      </w:pPr>
      <w:r>
        <w:rPr>
          <w:rFonts w:hint="eastAsia" w:ascii="Times New Roman" w:hAnsi="Times New Roman" w:eastAsia="仿宋_GB2312" w:cs="Times New Roman"/>
          <w:b w:val="0"/>
          <w:bCs w:val="0"/>
          <w:color w:val="auto"/>
          <w:kern w:val="2"/>
          <w:sz w:val="32"/>
          <w:szCs w:val="32"/>
          <w:highlight w:val="none"/>
          <w:u w:val="none"/>
          <w:lang w:val="en-US" w:eastAsia="zh-CN" w:bidi="ar-SA"/>
        </w:rPr>
        <w:t>全面推进信息公开。建立健全建筑垃圾处置</w:t>
      </w:r>
      <w:r>
        <w:rPr>
          <w:rFonts w:hint="eastAsia" w:ascii="仿宋_GB2312" w:hAnsi="仿宋_GB2312" w:eastAsia="仿宋_GB2312" w:cs="仿宋_GB2312"/>
          <w:b w:val="0"/>
          <w:bCs w:val="0"/>
          <w:color w:val="auto"/>
          <w:kern w:val="2"/>
          <w:sz w:val="32"/>
          <w:szCs w:val="32"/>
          <w:highlight w:val="none"/>
          <w:u w:val="none"/>
          <w:lang w:val="en-US" w:eastAsia="zh-CN" w:bidi="ar-SA"/>
        </w:rPr>
        <w:t>“</w:t>
      </w:r>
      <w:r>
        <w:rPr>
          <w:rFonts w:hint="eastAsia" w:ascii="Times New Roman" w:hAnsi="Times New Roman" w:eastAsia="仿宋_GB2312" w:cs="Times New Roman"/>
          <w:b w:val="0"/>
          <w:bCs w:val="0"/>
          <w:color w:val="auto"/>
          <w:kern w:val="2"/>
          <w:sz w:val="32"/>
          <w:szCs w:val="32"/>
          <w:highlight w:val="none"/>
          <w:u w:val="none"/>
          <w:lang w:val="en-US" w:eastAsia="zh-CN" w:bidi="ar-SA"/>
        </w:rPr>
        <w:t>红黑榜</w:t>
      </w:r>
      <w:r>
        <w:rPr>
          <w:rFonts w:hint="eastAsia" w:ascii="仿宋_GB2312" w:hAnsi="仿宋_GB2312" w:eastAsia="仿宋_GB2312" w:cs="仿宋_GB2312"/>
          <w:b w:val="0"/>
          <w:bCs w:val="0"/>
          <w:color w:val="auto"/>
          <w:kern w:val="2"/>
          <w:sz w:val="32"/>
          <w:szCs w:val="32"/>
          <w:highlight w:val="none"/>
          <w:u w:val="none"/>
          <w:lang w:val="en-US" w:eastAsia="zh-CN" w:bidi="ar-SA"/>
        </w:rPr>
        <w:t>”</w:t>
      </w:r>
      <w:r>
        <w:rPr>
          <w:rFonts w:hint="eastAsia" w:ascii="Times New Roman" w:hAnsi="Times New Roman" w:eastAsia="仿宋_GB2312" w:cs="Times New Roman"/>
          <w:b w:val="0"/>
          <w:bCs w:val="0"/>
          <w:color w:val="auto"/>
          <w:kern w:val="2"/>
          <w:sz w:val="32"/>
          <w:szCs w:val="32"/>
          <w:highlight w:val="none"/>
          <w:u w:val="none"/>
          <w:lang w:val="en-US" w:eastAsia="zh-CN" w:bidi="ar-SA"/>
        </w:rPr>
        <w:t>，实现一个平台展示、一个平台发布。加强对建筑垃圾各方主体和各环节的监管，依法依规将建筑垃圾违法行为处罚信息作为不良信息纳入主体信用档案。</w:t>
      </w:r>
    </w:p>
    <w:p w14:paraId="2CD44DC3">
      <w:pPr>
        <w:pStyle w:val="3"/>
        <w:pageBreakBefore w:val="0"/>
        <w:kinsoku/>
        <w:wordWrap/>
        <w:topLinePunct w:val="0"/>
        <w:bidi w:val="0"/>
        <w:spacing w:beforeAutospacing="0" w:afterAutospacing="0" w:line="560" w:lineRule="exact"/>
        <w:ind w:left="0" w:leftChars="0"/>
        <w:rPr>
          <w:rFonts w:hint="eastAsia" w:ascii="Times New Roman" w:hAnsi="Times New Roman" w:eastAsia="仿宋_GB2312" w:cs="Times New Roman"/>
          <w:b w:val="0"/>
          <w:bCs w:val="0"/>
          <w:color w:val="auto"/>
          <w:kern w:val="2"/>
          <w:sz w:val="32"/>
          <w:szCs w:val="32"/>
          <w:highlight w:val="none"/>
          <w:u w:val="none"/>
          <w:lang w:val="en-US" w:eastAsia="zh-CN" w:bidi="ar-SA"/>
        </w:rPr>
      </w:pPr>
      <w:r>
        <w:rPr>
          <w:rFonts w:hint="eastAsia" w:ascii="Times New Roman" w:hAnsi="Times New Roman" w:eastAsia="仿宋_GB2312" w:cs="Times New Roman"/>
          <w:b w:val="0"/>
          <w:bCs w:val="0"/>
          <w:color w:val="auto"/>
          <w:kern w:val="2"/>
          <w:sz w:val="32"/>
          <w:szCs w:val="32"/>
          <w:highlight w:val="none"/>
          <w:u w:val="none"/>
          <w:lang w:val="en-US" w:eastAsia="zh-CN" w:bidi="ar-SA"/>
        </w:rPr>
        <w:t xml:space="preserve">    </w:t>
      </w:r>
      <w:bookmarkStart w:id="115" w:name="_Toc20979"/>
      <w:bookmarkStart w:id="116" w:name="_Toc16333"/>
      <w:r>
        <w:rPr>
          <w:rFonts w:hint="eastAsia" w:ascii="楷体_GB2312" w:hAnsi="楷体_GB2312" w:eastAsia="楷体_GB2312" w:cs="楷体_GB2312"/>
          <w:b w:val="0"/>
          <w:bCs w:val="0"/>
          <w:color w:val="auto"/>
          <w:kern w:val="2"/>
          <w:sz w:val="32"/>
          <w:szCs w:val="32"/>
          <w:highlight w:val="none"/>
          <w:u w:val="none"/>
          <w:lang w:val="en-US" w:eastAsia="zh-CN" w:bidi="ar-SA"/>
        </w:rPr>
        <w:t>（五）执法队伍及人才队伍建设</w:t>
      </w:r>
      <w:bookmarkEnd w:id="115"/>
      <w:bookmarkEnd w:id="116"/>
    </w:p>
    <w:p w14:paraId="1E004D8F">
      <w:pPr>
        <w:pageBreakBefore w:val="0"/>
        <w:kinsoku/>
        <w:wordWrap/>
        <w:topLinePunct w:val="0"/>
        <w:bidi w:val="0"/>
        <w:spacing w:beforeAutospacing="0" w:afterAutospacing="0" w:line="560" w:lineRule="exact"/>
        <w:ind w:left="0" w:leftChars="0"/>
        <w:rPr>
          <w:rFonts w:hint="eastAsia" w:ascii="Times New Roman" w:hAnsi="Times New Roman" w:eastAsia="仿宋_GB2312" w:cs="Times New Roman"/>
          <w:b w:val="0"/>
          <w:bCs w:val="0"/>
          <w:color w:val="auto"/>
          <w:kern w:val="2"/>
          <w:sz w:val="32"/>
          <w:szCs w:val="32"/>
          <w:highlight w:val="none"/>
          <w:u w:val="none"/>
          <w:lang w:val="en-US" w:eastAsia="zh-CN" w:bidi="ar-SA"/>
        </w:rPr>
      </w:pPr>
      <w:r>
        <w:rPr>
          <w:rFonts w:hint="eastAsia" w:ascii="Times New Roman" w:hAnsi="Times New Roman" w:eastAsia="仿宋_GB2312" w:cs="Times New Roman"/>
          <w:b w:val="0"/>
          <w:bCs w:val="0"/>
          <w:color w:val="auto"/>
          <w:kern w:val="2"/>
          <w:sz w:val="32"/>
          <w:szCs w:val="32"/>
          <w:highlight w:val="none"/>
          <w:u w:val="none"/>
          <w:lang w:val="en-US" w:eastAsia="zh-CN" w:bidi="ar-SA"/>
        </w:rPr>
        <w:t>建筑垃圾治理行业队伍建设可以提高建筑垃圾处理效率和质量，确保建筑垃圾得到科学、合理的处理；能够促进建筑垃圾处理技术的创新和发展，推动行业进步；增强建筑垃圾处理行业的竞争力和可持续发展能力。</w:t>
      </w:r>
    </w:p>
    <w:p w14:paraId="3C60BD0B">
      <w:pPr>
        <w:pageBreakBefore w:val="0"/>
        <w:kinsoku/>
        <w:wordWrap/>
        <w:topLinePunct w:val="0"/>
        <w:bidi w:val="0"/>
        <w:spacing w:beforeAutospacing="0" w:afterAutospacing="0" w:line="560" w:lineRule="exact"/>
        <w:ind w:left="0" w:leftChars="0"/>
        <w:rPr>
          <w:rFonts w:hint="eastAsia" w:ascii="Times New Roman" w:hAnsi="Times New Roman" w:eastAsia="仿宋_GB2312" w:cs="Times New Roman"/>
          <w:b w:val="0"/>
          <w:bCs w:val="0"/>
          <w:color w:val="auto"/>
          <w:kern w:val="2"/>
          <w:sz w:val="32"/>
          <w:szCs w:val="32"/>
          <w:highlight w:val="none"/>
          <w:u w:val="none"/>
          <w:lang w:val="en-US" w:eastAsia="zh-CN" w:bidi="ar-SA"/>
        </w:rPr>
      </w:pPr>
      <w:r>
        <w:rPr>
          <w:rFonts w:hint="eastAsia" w:ascii="Times New Roman" w:hAnsi="Times New Roman" w:eastAsia="仿宋_GB2312" w:cs="Times New Roman"/>
          <w:b w:val="0"/>
          <w:bCs w:val="0"/>
          <w:color w:val="auto"/>
          <w:kern w:val="2"/>
          <w:sz w:val="32"/>
          <w:szCs w:val="32"/>
          <w:highlight w:val="none"/>
          <w:u w:val="none"/>
          <w:lang w:val="en-US" w:eastAsia="zh-CN" w:bidi="ar-SA"/>
        </w:rPr>
        <w:t>建筑垃圾治理行执法队伍建设的要求：</w:t>
      </w:r>
    </w:p>
    <w:p w14:paraId="314D01D6">
      <w:pPr>
        <w:pageBreakBefore w:val="0"/>
        <w:kinsoku/>
        <w:wordWrap/>
        <w:topLinePunct w:val="0"/>
        <w:bidi w:val="0"/>
        <w:spacing w:beforeAutospacing="0" w:afterAutospacing="0" w:line="560" w:lineRule="exact"/>
        <w:ind w:left="0" w:leftChars="0"/>
        <w:rPr>
          <w:rFonts w:hint="eastAsia" w:ascii="Times New Roman" w:hAnsi="Times New Roman" w:eastAsia="仿宋_GB2312" w:cs="Times New Roman"/>
          <w:b w:val="0"/>
          <w:bCs w:val="0"/>
          <w:color w:val="auto"/>
          <w:kern w:val="2"/>
          <w:sz w:val="32"/>
          <w:szCs w:val="32"/>
          <w:highlight w:val="none"/>
          <w:u w:val="none"/>
          <w:lang w:val="en-US" w:eastAsia="zh-CN" w:bidi="ar-SA"/>
        </w:rPr>
      </w:pPr>
      <w:r>
        <w:rPr>
          <w:rFonts w:hint="eastAsia" w:ascii="Times New Roman" w:hAnsi="Times New Roman" w:eastAsia="仿宋_GB2312" w:cs="Times New Roman"/>
          <w:b w:val="0"/>
          <w:bCs w:val="0"/>
          <w:color w:val="auto"/>
          <w:kern w:val="2"/>
          <w:sz w:val="32"/>
          <w:szCs w:val="32"/>
          <w:highlight w:val="none"/>
          <w:u w:val="none"/>
          <w:lang w:val="en-US" w:eastAsia="zh-CN" w:bidi="ar-SA"/>
        </w:rPr>
        <w:t>加强执法队伍建设，首先要优化执法队伍结构，合理配置执法资源。通过选拔具备专业素养和法律知识的优秀人才，充实到执法队伍中，提高执法队伍的整体素质。同时，要加强执法队伍的培训和教育，定期组织专业培训课程，提升执法人员的业务能力和执法水平。培训内容应包括建筑垃圾污染环境防治相关法律法规、执法程序、调查取证技巧等方面，确保执法人员在工作中能够熟练掌握和运用。要着力打造一支专业化、高效化的执法队伍。通过加强执法人员的培训和教育，提升其法律素养和执法能力，确保在执法过程中能够严格依法办事，公正、公平、公开地行使职权。同时，要加强执法队伍的作风建设，强化纪律意识，确保执法人员在工作中能够廉洁奉公、勤政为民。</w:t>
      </w:r>
    </w:p>
    <w:p w14:paraId="6D86A4EF">
      <w:pPr>
        <w:pageBreakBefore w:val="0"/>
        <w:kinsoku/>
        <w:wordWrap/>
        <w:topLinePunct w:val="0"/>
        <w:bidi w:val="0"/>
        <w:spacing w:beforeAutospacing="0" w:afterAutospacing="0" w:line="560" w:lineRule="exact"/>
        <w:ind w:left="0" w:leftChars="0"/>
        <w:rPr>
          <w:rFonts w:hint="eastAsia" w:ascii="Times New Roman" w:hAnsi="Times New Roman" w:eastAsia="仿宋_GB2312" w:cs="Times New Roman"/>
          <w:b w:val="0"/>
          <w:bCs w:val="0"/>
          <w:color w:val="auto"/>
          <w:kern w:val="2"/>
          <w:sz w:val="32"/>
          <w:szCs w:val="32"/>
          <w:highlight w:val="none"/>
          <w:u w:val="none"/>
          <w:lang w:val="en-US" w:eastAsia="zh-CN" w:bidi="ar-SA"/>
        </w:rPr>
      </w:pPr>
      <w:r>
        <w:rPr>
          <w:rFonts w:hint="eastAsia" w:ascii="Times New Roman" w:hAnsi="Times New Roman" w:eastAsia="仿宋_GB2312" w:cs="Times New Roman"/>
          <w:b w:val="0"/>
          <w:bCs w:val="0"/>
          <w:color w:val="auto"/>
          <w:kern w:val="2"/>
          <w:sz w:val="32"/>
          <w:szCs w:val="32"/>
          <w:highlight w:val="none"/>
          <w:u w:val="none"/>
          <w:lang w:val="en-US" w:eastAsia="zh-CN" w:bidi="ar-SA"/>
        </w:rPr>
        <w:t>建筑垃圾治理行业人才队伍建设的要求：</w:t>
      </w:r>
    </w:p>
    <w:p w14:paraId="00FA4DFB">
      <w:pPr>
        <w:pageBreakBefore w:val="0"/>
        <w:kinsoku/>
        <w:wordWrap/>
        <w:topLinePunct w:val="0"/>
        <w:bidi w:val="0"/>
        <w:spacing w:beforeAutospacing="0" w:afterAutospacing="0" w:line="560" w:lineRule="exact"/>
        <w:ind w:left="0" w:leftChars="0"/>
        <w:rPr>
          <w:rFonts w:hint="eastAsia" w:ascii="Times New Roman" w:hAnsi="Times New Roman" w:eastAsia="仿宋_GB2312" w:cs="Times New Roman"/>
          <w:b w:val="0"/>
          <w:bCs w:val="0"/>
          <w:color w:val="auto"/>
          <w:kern w:val="2"/>
          <w:sz w:val="32"/>
          <w:szCs w:val="32"/>
          <w:highlight w:val="none"/>
          <w:u w:val="none"/>
          <w:lang w:val="en-US" w:eastAsia="zh-CN" w:bidi="ar-SA"/>
        </w:rPr>
      </w:pPr>
      <w:r>
        <w:rPr>
          <w:rFonts w:hint="default" w:ascii="Times New Roman" w:hAnsi="Times New Roman" w:eastAsia="仿宋_GB2312" w:cs="Times New Roman"/>
          <w:b w:val="0"/>
          <w:bCs w:val="0"/>
          <w:color w:val="auto"/>
          <w:kern w:val="2"/>
          <w:sz w:val="32"/>
          <w:szCs w:val="32"/>
          <w:highlight w:val="none"/>
          <w:u w:val="none"/>
          <w:lang w:val="en-US" w:eastAsia="zh-CN" w:bidi="ar-SA"/>
        </w:rPr>
        <w:t>1</w:t>
      </w:r>
      <w:r>
        <w:rPr>
          <w:rFonts w:hint="eastAsia" w:eastAsia="仿宋_GB2312" w:cs="Times New Roman"/>
          <w:b w:val="0"/>
          <w:bCs w:val="0"/>
          <w:color w:val="auto"/>
          <w:kern w:val="2"/>
          <w:sz w:val="32"/>
          <w:szCs w:val="32"/>
          <w:highlight w:val="none"/>
          <w:u w:val="none"/>
          <w:lang w:val="en-US" w:eastAsia="zh-CN" w:bidi="ar-SA"/>
        </w:rPr>
        <w:t>．</w:t>
      </w:r>
      <w:r>
        <w:rPr>
          <w:rFonts w:hint="eastAsia" w:ascii="Times New Roman" w:hAnsi="Times New Roman" w:eastAsia="仿宋_GB2312" w:cs="Times New Roman"/>
          <w:b w:val="0"/>
          <w:bCs w:val="0"/>
          <w:color w:val="auto"/>
          <w:kern w:val="2"/>
          <w:sz w:val="32"/>
          <w:szCs w:val="32"/>
          <w:highlight w:val="none"/>
          <w:u w:val="none"/>
          <w:lang w:val="en-US" w:eastAsia="zh-CN" w:bidi="ar-SA"/>
        </w:rPr>
        <w:t>强</w:t>
      </w:r>
      <w:r>
        <w:rPr>
          <w:rFonts w:hint="eastAsia" w:eastAsia="仿宋_GB2312" w:cs="Times New Roman"/>
          <w:b w:val="0"/>
          <w:bCs w:val="0"/>
          <w:color w:val="auto"/>
          <w:kern w:val="2"/>
          <w:sz w:val="32"/>
          <w:szCs w:val="32"/>
          <w:highlight w:val="none"/>
          <w:u w:val="none"/>
          <w:lang w:val="en-US" w:eastAsia="zh-CN" w:bidi="ar-SA"/>
        </w:rPr>
        <w:t>化</w:t>
      </w:r>
      <w:r>
        <w:rPr>
          <w:rFonts w:hint="eastAsia" w:ascii="Times New Roman" w:hAnsi="Times New Roman" w:eastAsia="仿宋_GB2312" w:cs="Times New Roman"/>
          <w:b w:val="0"/>
          <w:bCs w:val="0"/>
          <w:color w:val="auto"/>
          <w:kern w:val="2"/>
          <w:sz w:val="32"/>
          <w:szCs w:val="32"/>
          <w:highlight w:val="none"/>
          <w:u w:val="none"/>
          <w:lang w:val="en-US" w:eastAsia="zh-CN" w:bidi="ar-SA"/>
        </w:rPr>
        <w:t>专业培训：对行业人员，包括管理人员和作业人员，进行专业培训提升其专业素养和技能水平。从业人员需掌握以下知识技能：</w:t>
      </w:r>
    </w:p>
    <w:p w14:paraId="402E4DCD">
      <w:pPr>
        <w:pageBreakBefore w:val="0"/>
        <w:numPr>
          <w:ilvl w:val="0"/>
          <w:numId w:val="0"/>
        </w:numPr>
        <w:kinsoku/>
        <w:wordWrap/>
        <w:topLinePunct w:val="0"/>
        <w:bidi w:val="0"/>
        <w:spacing w:beforeAutospacing="0" w:afterAutospacing="0" w:line="560" w:lineRule="exact"/>
        <w:ind w:firstLine="640" w:firstLineChars="200"/>
        <w:rPr>
          <w:rFonts w:hint="eastAsia" w:ascii="Times New Roman" w:hAnsi="Times New Roman" w:eastAsia="仿宋_GB2312" w:cs="Times New Roman"/>
          <w:b w:val="0"/>
          <w:bCs w:val="0"/>
          <w:color w:val="auto"/>
          <w:kern w:val="2"/>
          <w:sz w:val="32"/>
          <w:szCs w:val="32"/>
          <w:highlight w:val="none"/>
          <w:u w:val="none"/>
          <w:lang w:val="en-US" w:eastAsia="zh-CN" w:bidi="ar-SA"/>
        </w:rPr>
      </w:pPr>
      <w:r>
        <w:rPr>
          <w:rFonts w:hint="eastAsia" w:eastAsia="仿宋_GB2312" w:cs="Times New Roman"/>
          <w:b w:val="0"/>
          <w:bCs w:val="0"/>
          <w:color w:val="auto"/>
          <w:kern w:val="2"/>
          <w:sz w:val="32"/>
          <w:szCs w:val="32"/>
          <w:highlight w:val="none"/>
          <w:u w:val="none"/>
          <w:lang w:val="en-US" w:eastAsia="zh-CN" w:bidi="ar-SA"/>
        </w:rPr>
        <w:t>（</w:t>
      </w:r>
      <w:r>
        <w:rPr>
          <w:rFonts w:hint="default" w:ascii="Times New Roman" w:hAnsi="Times New Roman" w:eastAsia="仿宋_GB2312" w:cs="Times New Roman"/>
          <w:b w:val="0"/>
          <w:bCs w:val="0"/>
          <w:color w:val="auto"/>
          <w:kern w:val="2"/>
          <w:sz w:val="32"/>
          <w:szCs w:val="32"/>
          <w:highlight w:val="none"/>
          <w:u w:val="none"/>
          <w:lang w:val="en-US" w:eastAsia="zh-CN" w:bidi="ar-SA"/>
        </w:rPr>
        <w:t>1</w:t>
      </w:r>
      <w:r>
        <w:rPr>
          <w:rFonts w:hint="eastAsia" w:eastAsia="仿宋_GB2312" w:cs="Times New Roman"/>
          <w:b w:val="0"/>
          <w:bCs w:val="0"/>
          <w:color w:val="auto"/>
          <w:kern w:val="2"/>
          <w:sz w:val="32"/>
          <w:szCs w:val="32"/>
          <w:highlight w:val="none"/>
          <w:u w:val="none"/>
          <w:lang w:val="en-US" w:eastAsia="zh-CN" w:bidi="ar-SA"/>
        </w:rPr>
        <w:t>）</w:t>
      </w:r>
      <w:r>
        <w:rPr>
          <w:rFonts w:hint="eastAsia" w:ascii="Times New Roman" w:hAnsi="Times New Roman" w:eastAsia="仿宋_GB2312" w:cs="Times New Roman"/>
          <w:b w:val="0"/>
          <w:bCs w:val="0"/>
          <w:color w:val="auto"/>
          <w:kern w:val="2"/>
          <w:sz w:val="32"/>
          <w:szCs w:val="32"/>
          <w:highlight w:val="none"/>
          <w:u w:val="none"/>
          <w:lang w:val="en-US" w:eastAsia="zh-CN" w:bidi="ar-SA"/>
        </w:rPr>
        <w:t>建筑垃圾分类：熟悉建筑垃圾分类的基本原则和方法，能够准确判断建筑垃圾的性质和组成，进行正确分类。</w:t>
      </w:r>
    </w:p>
    <w:p w14:paraId="22983770">
      <w:pPr>
        <w:pageBreakBefore w:val="0"/>
        <w:numPr>
          <w:ilvl w:val="0"/>
          <w:numId w:val="0"/>
        </w:numPr>
        <w:kinsoku/>
        <w:wordWrap/>
        <w:topLinePunct w:val="0"/>
        <w:bidi w:val="0"/>
        <w:spacing w:beforeAutospacing="0" w:afterAutospacing="0" w:line="560" w:lineRule="exact"/>
        <w:ind w:firstLine="640" w:firstLineChars="200"/>
        <w:rPr>
          <w:rFonts w:hint="eastAsia" w:ascii="Times New Roman" w:hAnsi="Times New Roman" w:eastAsia="仿宋_GB2312" w:cs="Times New Roman"/>
          <w:b w:val="0"/>
          <w:bCs w:val="0"/>
          <w:color w:val="auto"/>
          <w:kern w:val="2"/>
          <w:sz w:val="32"/>
          <w:szCs w:val="32"/>
          <w:highlight w:val="none"/>
          <w:u w:val="none"/>
          <w:lang w:val="en-US" w:eastAsia="zh-CN" w:bidi="ar-SA"/>
        </w:rPr>
      </w:pPr>
      <w:r>
        <w:rPr>
          <w:rFonts w:hint="eastAsia" w:eastAsia="仿宋_GB2312" w:cs="Times New Roman"/>
          <w:b w:val="0"/>
          <w:bCs w:val="0"/>
          <w:color w:val="auto"/>
          <w:kern w:val="2"/>
          <w:sz w:val="32"/>
          <w:szCs w:val="32"/>
          <w:highlight w:val="none"/>
          <w:u w:val="none"/>
          <w:lang w:val="en-US" w:eastAsia="zh-CN" w:bidi="ar-SA"/>
        </w:rPr>
        <w:t>（</w:t>
      </w:r>
      <w:r>
        <w:rPr>
          <w:rFonts w:hint="default" w:ascii="Times New Roman" w:hAnsi="Times New Roman" w:eastAsia="仿宋_GB2312" w:cs="Times New Roman"/>
          <w:b w:val="0"/>
          <w:bCs w:val="0"/>
          <w:color w:val="auto"/>
          <w:kern w:val="2"/>
          <w:sz w:val="32"/>
          <w:szCs w:val="32"/>
          <w:highlight w:val="none"/>
          <w:u w:val="none"/>
          <w:lang w:val="en-US" w:eastAsia="zh-CN" w:bidi="ar-SA"/>
        </w:rPr>
        <w:t>2</w:t>
      </w:r>
      <w:r>
        <w:rPr>
          <w:rFonts w:hint="eastAsia" w:eastAsia="仿宋_GB2312" w:cs="Times New Roman"/>
          <w:b w:val="0"/>
          <w:bCs w:val="0"/>
          <w:color w:val="auto"/>
          <w:kern w:val="2"/>
          <w:sz w:val="32"/>
          <w:szCs w:val="32"/>
          <w:highlight w:val="none"/>
          <w:u w:val="none"/>
          <w:lang w:val="en-US" w:eastAsia="zh-CN" w:bidi="ar-SA"/>
        </w:rPr>
        <w:t>）</w:t>
      </w:r>
      <w:r>
        <w:rPr>
          <w:rFonts w:hint="eastAsia" w:ascii="Times New Roman" w:hAnsi="Times New Roman" w:eastAsia="仿宋_GB2312" w:cs="Times New Roman"/>
          <w:b w:val="0"/>
          <w:bCs w:val="0"/>
          <w:color w:val="auto"/>
          <w:kern w:val="2"/>
          <w:sz w:val="32"/>
          <w:szCs w:val="32"/>
          <w:highlight w:val="none"/>
          <w:u w:val="none"/>
          <w:lang w:val="en-US" w:eastAsia="zh-CN" w:bidi="ar-SA"/>
        </w:rPr>
        <w:t>建筑垃圾处理技能：了解不同类型建筑垃圾处理的要求和标准，垃圾处理作业人员应具备建筑垃圾处理的实际操作能力，包括收集、运输、填埋或焚烧等处理过程。</w:t>
      </w:r>
    </w:p>
    <w:p w14:paraId="53C7245F">
      <w:pPr>
        <w:pageBreakBefore w:val="0"/>
        <w:numPr>
          <w:ilvl w:val="0"/>
          <w:numId w:val="0"/>
        </w:numPr>
        <w:kinsoku/>
        <w:wordWrap/>
        <w:topLinePunct w:val="0"/>
        <w:bidi w:val="0"/>
        <w:spacing w:beforeAutospacing="0" w:afterAutospacing="0" w:line="560" w:lineRule="exact"/>
        <w:ind w:firstLine="640" w:firstLineChars="200"/>
        <w:rPr>
          <w:rFonts w:hint="eastAsia" w:ascii="Times New Roman" w:hAnsi="Times New Roman" w:eastAsia="仿宋_GB2312" w:cs="Times New Roman"/>
          <w:b w:val="0"/>
          <w:bCs w:val="0"/>
          <w:color w:val="auto"/>
          <w:kern w:val="2"/>
          <w:sz w:val="32"/>
          <w:szCs w:val="32"/>
          <w:highlight w:val="none"/>
          <w:u w:val="none"/>
          <w:lang w:val="en-US" w:eastAsia="zh-CN" w:bidi="ar-SA"/>
        </w:rPr>
      </w:pPr>
      <w:r>
        <w:rPr>
          <w:rFonts w:hint="eastAsia" w:eastAsia="仿宋_GB2312" w:cs="Times New Roman"/>
          <w:b w:val="0"/>
          <w:bCs w:val="0"/>
          <w:color w:val="auto"/>
          <w:kern w:val="2"/>
          <w:sz w:val="32"/>
          <w:szCs w:val="32"/>
          <w:highlight w:val="none"/>
          <w:u w:val="none"/>
          <w:lang w:val="en-US" w:eastAsia="zh-CN" w:bidi="ar-SA"/>
        </w:rPr>
        <w:t>（</w:t>
      </w:r>
      <w:r>
        <w:rPr>
          <w:rFonts w:hint="default" w:ascii="Times New Roman" w:hAnsi="Times New Roman" w:eastAsia="仿宋_GB2312" w:cs="Times New Roman"/>
          <w:b w:val="0"/>
          <w:bCs w:val="0"/>
          <w:color w:val="auto"/>
          <w:kern w:val="2"/>
          <w:sz w:val="32"/>
          <w:szCs w:val="32"/>
          <w:highlight w:val="none"/>
          <w:u w:val="none"/>
          <w:lang w:val="en-US" w:eastAsia="zh-CN" w:bidi="ar-SA"/>
        </w:rPr>
        <w:t>3</w:t>
      </w:r>
      <w:r>
        <w:rPr>
          <w:rFonts w:hint="eastAsia" w:eastAsia="仿宋_GB2312" w:cs="Times New Roman"/>
          <w:b w:val="0"/>
          <w:bCs w:val="0"/>
          <w:color w:val="auto"/>
          <w:kern w:val="2"/>
          <w:sz w:val="32"/>
          <w:szCs w:val="32"/>
          <w:highlight w:val="none"/>
          <w:u w:val="none"/>
          <w:lang w:val="en-US" w:eastAsia="zh-CN" w:bidi="ar-SA"/>
        </w:rPr>
        <w:t>）</w:t>
      </w:r>
      <w:r>
        <w:rPr>
          <w:rFonts w:hint="eastAsia" w:ascii="Times New Roman" w:hAnsi="Times New Roman" w:eastAsia="仿宋_GB2312" w:cs="Times New Roman"/>
          <w:b w:val="0"/>
          <w:bCs w:val="0"/>
          <w:color w:val="auto"/>
          <w:kern w:val="2"/>
          <w:sz w:val="32"/>
          <w:szCs w:val="32"/>
          <w:highlight w:val="none"/>
          <w:u w:val="none"/>
          <w:lang w:val="en-US" w:eastAsia="zh-CN" w:bidi="ar-SA"/>
        </w:rPr>
        <w:t>设备使用和维护技能：掌握建筑垃圾处理设备和工具的使用方法，能够正确操作和维护相关设备。</w:t>
      </w:r>
    </w:p>
    <w:p w14:paraId="799F3CC1">
      <w:pPr>
        <w:pageBreakBefore w:val="0"/>
        <w:numPr>
          <w:ilvl w:val="0"/>
          <w:numId w:val="0"/>
        </w:numPr>
        <w:kinsoku/>
        <w:wordWrap/>
        <w:topLinePunct w:val="0"/>
        <w:bidi w:val="0"/>
        <w:spacing w:beforeAutospacing="0" w:afterAutospacing="0" w:line="560" w:lineRule="exact"/>
        <w:ind w:firstLine="640" w:firstLineChars="200"/>
        <w:rPr>
          <w:rFonts w:hint="eastAsia" w:ascii="Times New Roman" w:hAnsi="Times New Roman" w:eastAsia="仿宋_GB2312" w:cs="Times New Roman"/>
          <w:b w:val="0"/>
          <w:bCs w:val="0"/>
          <w:color w:val="auto"/>
          <w:kern w:val="2"/>
          <w:sz w:val="32"/>
          <w:szCs w:val="32"/>
          <w:highlight w:val="none"/>
          <w:u w:val="none"/>
          <w:lang w:val="en-US" w:eastAsia="zh-CN" w:bidi="ar-SA"/>
        </w:rPr>
      </w:pPr>
      <w:r>
        <w:rPr>
          <w:rFonts w:hint="eastAsia" w:eastAsia="仿宋_GB2312" w:cs="Times New Roman"/>
          <w:b w:val="0"/>
          <w:bCs w:val="0"/>
          <w:color w:val="auto"/>
          <w:kern w:val="2"/>
          <w:sz w:val="32"/>
          <w:szCs w:val="32"/>
          <w:highlight w:val="none"/>
          <w:u w:val="none"/>
          <w:lang w:val="en-US" w:eastAsia="zh-CN" w:bidi="ar-SA"/>
        </w:rPr>
        <w:t>（</w:t>
      </w:r>
      <w:r>
        <w:rPr>
          <w:rFonts w:hint="default" w:ascii="Times New Roman" w:hAnsi="Times New Roman" w:eastAsia="仿宋_GB2312" w:cs="Times New Roman"/>
          <w:b w:val="0"/>
          <w:bCs w:val="0"/>
          <w:color w:val="auto"/>
          <w:kern w:val="2"/>
          <w:sz w:val="32"/>
          <w:szCs w:val="32"/>
          <w:highlight w:val="none"/>
          <w:u w:val="none"/>
          <w:lang w:val="en-US" w:eastAsia="zh-CN" w:bidi="ar-SA"/>
        </w:rPr>
        <w:t>4</w:t>
      </w:r>
      <w:r>
        <w:rPr>
          <w:rFonts w:hint="eastAsia" w:eastAsia="仿宋_GB2312" w:cs="Times New Roman"/>
          <w:b w:val="0"/>
          <w:bCs w:val="0"/>
          <w:color w:val="auto"/>
          <w:kern w:val="2"/>
          <w:sz w:val="32"/>
          <w:szCs w:val="32"/>
          <w:highlight w:val="none"/>
          <w:u w:val="none"/>
          <w:lang w:val="en-US" w:eastAsia="zh-CN" w:bidi="ar-SA"/>
        </w:rPr>
        <w:t>）</w:t>
      </w:r>
      <w:r>
        <w:rPr>
          <w:rFonts w:hint="eastAsia" w:ascii="Times New Roman" w:hAnsi="Times New Roman" w:eastAsia="仿宋_GB2312" w:cs="Times New Roman"/>
          <w:b w:val="0"/>
          <w:bCs w:val="0"/>
          <w:color w:val="auto"/>
          <w:kern w:val="2"/>
          <w:sz w:val="32"/>
          <w:szCs w:val="32"/>
          <w:highlight w:val="none"/>
          <w:u w:val="none"/>
          <w:lang w:val="en-US" w:eastAsia="zh-CN" w:bidi="ar-SA"/>
        </w:rPr>
        <w:t>安全常识：了解建筑垃圾处理过程中的安全风险及应对措施，确保作业安全。</w:t>
      </w:r>
    </w:p>
    <w:p w14:paraId="149CFAE6">
      <w:pPr>
        <w:pageBreakBefore w:val="0"/>
        <w:numPr>
          <w:ilvl w:val="0"/>
          <w:numId w:val="0"/>
        </w:numPr>
        <w:kinsoku/>
        <w:wordWrap/>
        <w:topLinePunct w:val="0"/>
        <w:bidi w:val="0"/>
        <w:spacing w:beforeAutospacing="0" w:afterAutospacing="0" w:line="560" w:lineRule="exact"/>
        <w:ind w:firstLine="640" w:firstLineChars="200"/>
        <w:rPr>
          <w:rFonts w:hint="eastAsia" w:ascii="Times New Roman" w:hAnsi="Times New Roman" w:eastAsia="仿宋_GB2312" w:cs="Times New Roman"/>
          <w:b w:val="0"/>
          <w:bCs w:val="0"/>
          <w:color w:val="auto"/>
          <w:kern w:val="2"/>
          <w:sz w:val="32"/>
          <w:szCs w:val="32"/>
          <w:highlight w:val="none"/>
          <w:u w:val="none"/>
          <w:lang w:val="en-US" w:eastAsia="zh-CN" w:bidi="ar-SA"/>
        </w:rPr>
      </w:pPr>
      <w:r>
        <w:rPr>
          <w:rFonts w:hint="eastAsia" w:eastAsia="仿宋_GB2312" w:cs="Times New Roman"/>
          <w:b w:val="0"/>
          <w:bCs w:val="0"/>
          <w:color w:val="auto"/>
          <w:kern w:val="2"/>
          <w:sz w:val="32"/>
          <w:szCs w:val="32"/>
          <w:highlight w:val="none"/>
          <w:u w:val="none"/>
          <w:lang w:val="en-US" w:eastAsia="zh-CN" w:bidi="ar-SA"/>
        </w:rPr>
        <w:t>（</w:t>
      </w:r>
      <w:r>
        <w:rPr>
          <w:rFonts w:hint="default" w:ascii="Times New Roman" w:hAnsi="Times New Roman" w:eastAsia="仿宋_GB2312" w:cs="Times New Roman"/>
          <w:b w:val="0"/>
          <w:bCs w:val="0"/>
          <w:color w:val="auto"/>
          <w:kern w:val="2"/>
          <w:sz w:val="32"/>
          <w:szCs w:val="32"/>
          <w:highlight w:val="none"/>
          <w:u w:val="none"/>
          <w:lang w:val="en-US" w:eastAsia="zh-CN" w:bidi="ar-SA"/>
        </w:rPr>
        <w:t>5</w:t>
      </w:r>
      <w:r>
        <w:rPr>
          <w:rFonts w:hint="eastAsia" w:eastAsia="仿宋_GB2312" w:cs="Times New Roman"/>
          <w:b w:val="0"/>
          <w:bCs w:val="0"/>
          <w:color w:val="auto"/>
          <w:kern w:val="2"/>
          <w:sz w:val="32"/>
          <w:szCs w:val="32"/>
          <w:highlight w:val="none"/>
          <w:u w:val="none"/>
          <w:lang w:val="en-US" w:eastAsia="zh-CN" w:bidi="ar-SA"/>
        </w:rPr>
        <w:t>）</w:t>
      </w:r>
      <w:r>
        <w:rPr>
          <w:rFonts w:hint="eastAsia" w:ascii="Times New Roman" w:hAnsi="Times New Roman" w:eastAsia="仿宋_GB2312" w:cs="Times New Roman"/>
          <w:b w:val="0"/>
          <w:bCs w:val="0"/>
          <w:color w:val="auto"/>
          <w:kern w:val="2"/>
          <w:sz w:val="32"/>
          <w:szCs w:val="32"/>
          <w:highlight w:val="none"/>
          <w:u w:val="none"/>
          <w:lang w:val="en-US" w:eastAsia="zh-CN" w:bidi="ar-SA"/>
        </w:rPr>
        <w:t>环境保护意识：具备环境保护的基本知识，了解建筑</w:t>
      </w:r>
      <w:r>
        <w:rPr>
          <w:rFonts w:hint="eastAsia" w:ascii="Times New Roman" w:hAnsi="Times New Roman" w:eastAsia="仿宋_GB2312" w:cs="Times New Roman"/>
          <w:b w:val="0"/>
          <w:bCs w:val="0"/>
          <w:color w:val="auto"/>
          <w:spacing w:val="6"/>
          <w:kern w:val="2"/>
          <w:sz w:val="32"/>
          <w:szCs w:val="32"/>
          <w:highlight w:val="none"/>
          <w:u w:val="none"/>
          <w:lang w:val="en-US" w:eastAsia="zh-CN" w:bidi="ar-SA"/>
        </w:rPr>
        <w:t>垃圾对环境和人类健康的影响，认识到废弃物处理工作的重要性。</w:t>
      </w:r>
    </w:p>
    <w:p w14:paraId="0088E48F">
      <w:pPr>
        <w:pageBreakBefore w:val="0"/>
        <w:numPr>
          <w:ilvl w:val="0"/>
          <w:numId w:val="0"/>
        </w:numPr>
        <w:kinsoku/>
        <w:wordWrap/>
        <w:topLinePunct w:val="0"/>
        <w:bidi w:val="0"/>
        <w:spacing w:beforeAutospacing="0" w:afterAutospacing="0" w:line="560" w:lineRule="exact"/>
        <w:ind w:firstLine="640" w:firstLineChars="200"/>
        <w:rPr>
          <w:rFonts w:hint="eastAsia" w:ascii="Times New Roman" w:hAnsi="Times New Roman" w:eastAsia="仿宋_GB2312" w:cs="Times New Roman"/>
          <w:b w:val="0"/>
          <w:bCs w:val="0"/>
          <w:color w:val="auto"/>
          <w:kern w:val="2"/>
          <w:sz w:val="32"/>
          <w:szCs w:val="32"/>
          <w:highlight w:val="none"/>
          <w:u w:val="none"/>
          <w:lang w:val="en-US" w:eastAsia="zh-CN" w:bidi="ar-SA"/>
        </w:rPr>
      </w:pPr>
      <w:r>
        <w:rPr>
          <w:rFonts w:hint="eastAsia" w:eastAsia="仿宋_GB2312" w:cs="Times New Roman"/>
          <w:b w:val="0"/>
          <w:bCs w:val="0"/>
          <w:color w:val="auto"/>
          <w:kern w:val="2"/>
          <w:sz w:val="32"/>
          <w:szCs w:val="32"/>
          <w:highlight w:val="none"/>
          <w:u w:val="none"/>
          <w:lang w:val="en-US" w:eastAsia="zh-CN" w:bidi="ar-SA"/>
        </w:rPr>
        <w:t>（</w:t>
      </w:r>
      <w:r>
        <w:rPr>
          <w:rFonts w:hint="default" w:ascii="Times New Roman" w:hAnsi="Times New Roman" w:eastAsia="仿宋_GB2312" w:cs="Times New Roman"/>
          <w:b w:val="0"/>
          <w:bCs w:val="0"/>
          <w:color w:val="auto"/>
          <w:kern w:val="2"/>
          <w:sz w:val="32"/>
          <w:szCs w:val="32"/>
          <w:highlight w:val="none"/>
          <w:u w:val="none"/>
          <w:lang w:val="en-US" w:eastAsia="zh-CN" w:bidi="ar-SA"/>
        </w:rPr>
        <w:t>6</w:t>
      </w:r>
      <w:r>
        <w:rPr>
          <w:rFonts w:hint="eastAsia" w:eastAsia="仿宋_GB2312" w:cs="Times New Roman"/>
          <w:b w:val="0"/>
          <w:bCs w:val="0"/>
          <w:color w:val="auto"/>
          <w:kern w:val="2"/>
          <w:sz w:val="32"/>
          <w:szCs w:val="32"/>
          <w:highlight w:val="none"/>
          <w:u w:val="none"/>
          <w:lang w:val="en-US" w:eastAsia="zh-CN" w:bidi="ar-SA"/>
        </w:rPr>
        <w:t>）</w:t>
      </w:r>
      <w:r>
        <w:rPr>
          <w:rFonts w:hint="eastAsia" w:ascii="Times New Roman" w:hAnsi="Times New Roman" w:eastAsia="仿宋_GB2312" w:cs="Times New Roman"/>
          <w:b w:val="0"/>
          <w:bCs w:val="0"/>
          <w:color w:val="auto"/>
          <w:kern w:val="2"/>
          <w:sz w:val="32"/>
          <w:szCs w:val="32"/>
          <w:highlight w:val="none"/>
          <w:u w:val="none"/>
          <w:lang w:val="en-US" w:eastAsia="zh-CN" w:bidi="ar-SA"/>
        </w:rPr>
        <w:t>了解建筑垃圾治理行业相关法律法规及政策文件。</w:t>
      </w:r>
    </w:p>
    <w:p w14:paraId="3E6C84B7">
      <w:pPr>
        <w:pageBreakBefore w:val="0"/>
        <w:kinsoku/>
        <w:wordWrap/>
        <w:topLinePunct w:val="0"/>
        <w:bidi w:val="0"/>
        <w:spacing w:beforeAutospacing="0" w:afterAutospacing="0" w:line="560" w:lineRule="exact"/>
        <w:ind w:left="0" w:leftChars="0"/>
        <w:rPr>
          <w:rFonts w:hint="eastAsia" w:ascii="Times New Roman" w:hAnsi="Times New Roman" w:eastAsia="仿宋_GB2312" w:cs="Times New Roman"/>
          <w:b w:val="0"/>
          <w:bCs w:val="0"/>
          <w:color w:val="auto"/>
          <w:kern w:val="2"/>
          <w:sz w:val="32"/>
          <w:szCs w:val="32"/>
          <w:highlight w:val="none"/>
          <w:u w:val="none"/>
          <w:lang w:val="en-US" w:eastAsia="zh-CN" w:bidi="ar-SA"/>
        </w:rPr>
      </w:pPr>
      <w:r>
        <w:rPr>
          <w:rFonts w:hint="default" w:ascii="Times New Roman" w:hAnsi="Times New Roman" w:eastAsia="仿宋_GB2312" w:cs="Times New Roman"/>
          <w:b w:val="0"/>
          <w:bCs w:val="0"/>
          <w:color w:val="auto"/>
          <w:kern w:val="2"/>
          <w:sz w:val="32"/>
          <w:szCs w:val="32"/>
          <w:highlight w:val="none"/>
          <w:u w:val="none"/>
          <w:lang w:val="en-US" w:eastAsia="zh-CN" w:bidi="ar-SA"/>
        </w:rPr>
        <w:t>2</w:t>
      </w:r>
      <w:r>
        <w:rPr>
          <w:rFonts w:hint="eastAsia" w:eastAsia="仿宋_GB2312" w:cs="Times New Roman"/>
          <w:b w:val="0"/>
          <w:bCs w:val="0"/>
          <w:color w:val="auto"/>
          <w:kern w:val="2"/>
          <w:sz w:val="32"/>
          <w:szCs w:val="32"/>
          <w:highlight w:val="none"/>
          <w:u w:val="none"/>
          <w:lang w:val="en-US" w:eastAsia="zh-CN" w:bidi="ar-SA"/>
        </w:rPr>
        <w:t>．</w:t>
      </w:r>
      <w:r>
        <w:rPr>
          <w:rFonts w:hint="eastAsia" w:ascii="Times New Roman" w:hAnsi="Times New Roman" w:eastAsia="仿宋_GB2312" w:cs="Times New Roman"/>
          <w:b w:val="0"/>
          <w:bCs w:val="0"/>
          <w:color w:val="auto"/>
          <w:kern w:val="2"/>
          <w:sz w:val="32"/>
          <w:szCs w:val="32"/>
          <w:highlight w:val="none"/>
          <w:u w:val="none"/>
          <w:lang w:val="en-US" w:eastAsia="zh-CN" w:bidi="ar-SA"/>
        </w:rPr>
        <w:t>引进高素质人才：通过招聘、人才引进等方式，吸引具</w:t>
      </w:r>
      <w:r>
        <w:rPr>
          <w:rFonts w:hint="eastAsia" w:ascii="Times New Roman" w:hAnsi="Times New Roman" w:eastAsia="仿宋_GB2312" w:cs="Times New Roman"/>
          <w:b w:val="0"/>
          <w:bCs w:val="0"/>
          <w:color w:val="auto"/>
          <w:spacing w:val="6"/>
          <w:kern w:val="2"/>
          <w:sz w:val="32"/>
          <w:szCs w:val="32"/>
          <w:highlight w:val="none"/>
          <w:u w:val="none"/>
          <w:lang w:val="en-US" w:eastAsia="zh-CN" w:bidi="ar-SA"/>
        </w:rPr>
        <w:t>备相关专业背景和工作经验的高素质人才加入建筑垃圾管理队伍。</w:t>
      </w:r>
    </w:p>
    <w:p w14:paraId="445324A6">
      <w:pPr>
        <w:pageBreakBefore w:val="0"/>
        <w:kinsoku/>
        <w:wordWrap/>
        <w:topLinePunct w:val="0"/>
        <w:bidi w:val="0"/>
        <w:spacing w:beforeAutospacing="0" w:afterAutospacing="0" w:line="560" w:lineRule="exact"/>
        <w:ind w:left="0" w:leftChars="0"/>
        <w:rPr>
          <w:rFonts w:hint="eastAsia" w:ascii="Times New Roman" w:hAnsi="Times New Roman" w:eastAsia="仿宋_GB2312" w:cs="Times New Roman"/>
          <w:b w:val="0"/>
          <w:bCs w:val="0"/>
          <w:color w:val="auto"/>
          <w:kern w:val="2"/>
          <w:sz w:val="32"/>
          <w:szCs w:val="32"/>
          <w:highlight w:val="none"/>
          <w:u w:val="none"/>
          <w:lang w:val="en-US" w:eastAsia="zh-CN" w:bidi="ar-SA"/>
        </w:rPr>
      </w:pPr>
      <w:r>
        <w:rPr>
          <w:rFonts w:hint="default" w:ascii="Times New Roman" w:hAnsi="Times New Roman" w:eastAsia="仿宋_GB2312" w:cs="Times New Roman"/>
          <w:b w:val="0"/>
          <w:bCs w:val="0"/>
          <w:color w:val="auto"/>
          <w:kern w:val="2"/>
          <w:sz w:val="32"/>
          <w:szCs w:val="32"/>
          <w:highlight w:val="none"/>
          <w:u w:val="none"/>
          <w:lang w:val="en-US" w:eastAsia="zh-CN" w:bidi="ar-SA"/>
        </w:rPr>
        <w:t>3</w:t>
      </w:r>
      <w:r>
        <w:rPr>
          <w:rFonts w:hint="eastAsia" w:eastAsia="仿宋_GB2312" w:cs="Times New Roman"/>
          <w:b w:val="0"/>
          <w:bCs w:val="0"/>
          <w:color w:val="auto"/>
          <w:kern w:val="2"/>
          <w:sz w:val="32"/>
          <w:szCs w:val="32"/>
          <w:highlight w:val="none"/>
          <w:u w:val="none"/>
          <w:lang w:val="en-US" w:eastAsia="zh-CN" w:bidi="ar-SA"/>
        </w:rPr>
        <w:t>．</w:t>
      </w:r>
      <w:r>
        <w:rPr>
          <w:rFonts w:hint="eastAsia" w:ascii="Times New Roman" w:hAnsi="Times New Roman" w:eastAsia="仿宋_GB2312" w:cs="Times New Roman"/>
          <w:b w:val="0"/>
          <w:bCs w:val="0"/>
          <w:color w:val="auto"/>
          <w:kern w:val="2"/>
          <w:sz w:val="32"/>
          <w:szCs w:val="32"/>
          <w:highlight w:val="none"/>
          <w:u w:val="none"/>
          <w:lang w:val="en-US" w:eastAsia="zh-CN" w:bidi="ar-SA"/>
        </w:rPr>
        <w:t>建立激励机制：设置合理的薪酬、晋升和奖励机制，激发建筑垃圾管理人员的工作积极性和创造力，鼓励其不断提升自身能力和业绩。</w:t>
      </w:r>
    </w:p>
    <w:p w14:paraId="604B1519">
      <w:pPr>
        <w:pageBreakBefore w:val="0"/>
        <w:kinsoku/>
        <w:wordWrap/>
        <w:topLinePunct w:val="0"/>
        <w:bidi w:val="0"/>
        <w:spacing w:beforeAutospacing="0" w:afterAutospacing="0" w:line="560" w:lineRule="exact"/>
        <w:ind w:left="0" w:leftChars="0"/>
        <w:rPr>
          <w:rFonts w:hint="eastAsia" w:ascii="Times New Roman" w:hAnsi="Times New Roman" w:eastAsia="仿宋_GB2312" w:cs="Times New Roman"/>
          <w:b w:val="0"/>
          <w:bCs w:val="0"/>
          <w:color w:val="auto"/>
          <w:kern w:val="2"/>
          <w:sz w:val="32"/>
          <w:szCs w:val="32"/>
          <w:highlight w:val="none"/>
          <w:u w:val="none"/>
          <w:lang w:val="en-US" w:eastAsia="zh-CN" w:bidi="ar-SA"/>
        </w:rPr>
      </w:pPr>
      <w:r>
        <w:rPr>
          <w:rFonts w:hint="default" w:ascii="Times New Roman" w:hAnsi="Times New Roman" w:eastAsia="仿宋_GB2312" w:cs="Times New Roman"/>
          <w:b w:val="0"/>
          <w:bCs w:val="0"/>
          <w:color w:val="auto"/>
          <w:kern w:val="2"/>
          <w:sz w:val="32"/>
          <w:szCs w:val="32"/>
          <w:highlight w:val="none"/>
          <w:u w:val="none"/>
          <w:lang w:val="en-US" w:eastAsia="zh-CN" w:bidi="ar-SA"/>
        </w:rPr>
        <w:t>4</w:t>
      </w:r>
      <w:r>
        <w:rPr>
          <w:rFonts w:hint="eastAsia" w:eastAsia="仿宋_GB2312" w:cs="Times New Roman"/>
          <w:b w:val="0"/>
          <w:bCs w:val="0"/>
          <w:color w:val="auto"/>
          <w:kern w:val="2"/>
          <w:sz w:val="32"/>
          <w:szCs w:val="32"/>
          <w:highlight w:val="none"/>
          <w:u w:val="none"/>
          <w:lang w:val="en-US" w:eastAsia="zh-CN" w:bidi="ar-SA"/>
        </w:rPr>
        <w:t>．</w:t>
      </w:r>
      <w:r>
        <w:rPr>
          <w:rFonts w:hint="eastAsia" w:ascii="Times New Roman" w:hAnsi="Times New Roman" w:eastAsia="仿宋_GB2312" w:cs="Times New Roman"/>
          <w:b w:val="0"/>
          <w:bCs w:val="0"/>
          <w:color w:val="auto"/>
          <w:kern w:val="2"/>
          <w:sz w:val="32"/>
          <w:szCs w:val="32"/>
          <w:highlight w:val="none"/>
          <w:u w:val="none"/>
          <w:lang w:val="en-US" w:eastAsia="zh-CN" w:bidi="ar-SA"/>
        </w:rPr>
        <w:t>强化实践锻炼：组织建筑垃圾管理人员参与实际项目，通过实践锻炼提升其处理建筑垃圾的能力和水平。</w:t>
      </w:r>
    </w:p>
    <w:p w14:paraId="3D3AE9BF">
      <w:pPr>
        <w:pageBreakBefore w:val="0"/>
        <w:kinsoku/>
        <w:wordWrap/>
        <w:topLinePunct w:val="0"/>
        <w:bidi w:val="0"/>
        <w:spacing w:beforeAutospacing="0" w:afterAutospacing="0" w:line="560" w:lineRule="exact"/>
        <w:ind w:left="0" w:leftChars="0"/>
        <w:rPr>
          <w:rFonts w:hint="eastAsia" w:ascii="Times New Roman" w:hAnsi="Times New Roman" w:eastAsia="仿宋_GB2312" w:cs="Times New Roman"/>
          <w:b w:val="0"/>
          <w:bCs w:val="0"/>
          <w:color w:val="auto"/>
          <w:kern w:val="2"/>
          <w:sz w:val="32"/>
          <w:szCs w:val="32"/>
          <w:highlight w:val="none"/>
          <w:u w:val="none"/>
          <w:lang w:val="en-US" w:eastAsia="zh-CN" w:bidi="ar-SA"/>
        </w:rPr>
      </w:pPr>
      <w:r>
        <w:rPr>
          <w:rFonts w:hint="default" w:ascii="Times New Roman" w:hAnsi="Times New Roman" w:eastAsia="仿宋_GB2312" w:cs="Times New Roman"/>
          <w:b w:val="0"/>
          <w:bCs w:val="0"/>
          <w:color w:val="auto"/>
          <w:kern w:val="2"/>
          <w:sz w:val="32"/>
          <w:szCs w:val="32"/>
          <w:highlight w:val="none"/>
          <w:u w:val="none"/>
          <w:lang w:val="en-US" w:eastAsia="zh-CN" w:bidi="ar-SA"/>
        </w:rPr>
        <w:t>5</w:t>
      </w:r>
      <w:r>
        <w:rPr>
          <w:rFonts w:hint="eastAsia" w:eastAsia="仿宋_GB2312" w:cs="Times New Roman"/>
          <w:b w:val="0"/>
          <w:bCs w:val="0"/>
          <w:color w:val="auto"/>
          <w:kern w:val="2"/>
          <w:sz w:val="32"/>
          <w:szCs w:val="32"/>
          <w:highlight w:val="none"/>
          <w:u w:val="none"/>
          <w:lang w:val="en-US" w:eastAsia="zh-CN" w:bidi="ar-SA"/>
        </w:rPr>
        <w:t>．</w:t>
      </w:r>
      <w:r>
        <w:rPr>
          <w:rFonts w:hint="eastAsia" w:ascii="Times New Roman" w:hAnsi="Times New Roman" w:eastAsia="仿宋_GB2312" w:cs="Times New Roman"/>
          <w:b w:val="0"/>
          <w:bCs w:val="0"/>
          <w:color w:val="auto"/>
          <w:kern w:val="2"/>
          <w:sz w:val="32"/>
          <w:szCs w:val="32"/>
          <w:highlight w:val="none"/>
          <w:u w:val="none"/>
          <w:lang w:val="en-US" w:eastAsia="zh-CN" w:bidi="ar-SA"/>
        </w:rPr>
        <w:t>开展交流合作：加强与其他</w:t>
      </w:r>
      <w:r>
        <w:rPr>
          <w:rFonts w:hint="eastAsia" w:eastAsia="仿宋_GB2312" w:cs="Times New Roman"/>
          <w:b w:val="0"/>
          <w:bCs w:val="0"/>
          <w:color w:val="auto"/>
          <w:kern w:val="2"/>
          <w:sz w:val="32"/>
          <w:szCs w:val="32"/>
          <w:highlight w:val="none"/>
          <w:u w:val="none"/>
          <w:lang w:val="en-US" w:eastAsia="zh-CN" w:bidi="ar-SA"/>
        </w:rPr>
        <w:t>县</w:t>
      </w:r>
      <w:r>
        <w:rPr>
          <w:rFonts w:hint="eastAsia" w:ascii="Times New Roman" w:hAnsi="Times New Roman" w:eastAsia="仿宋_GB2312" w:cs="Times New Roman"/>
          <w:b w:val="0"/>
          <w:bCs w:val="0"/>
          <w:color w:val="auto"/>
          <w:kern w:val="2"/>
          <w:sz w:val="32"/>
          <w:szCs w:val="32"/>
          <w:highlight w:val="none"/>
          <w:u w:val="none"/>
          <w:lang w:val="en-US" w:eastAsia="zh-CN" w:bidi="ar-SA"/>
        </w:rPr>
        <w:t>区、行业的交流合作，借鉴先进经验和技术，提升建筑垃圾管理人才队伍的整体水平</w:t>
      </w:r>
      <w:r>
        <w:rPr>
          <w:rFonts w:hint="eastAsia" w:eastAsia="仿宋_GB2312" w:cs="Times New Roman"/>
          <w:b w:val="0"/>
          <w:bCs w:val="0"/>
          <w:color w:val="auto"/>
          <w:kern w:val="2"/>
          <w:sz w:val="32"/>
          <w:szCs w:val="32"/>
          <w:highlight w:val="none"/>
          <w:u w:val="none"/>
          <w:lang w:val="en-US" w:eastAsia="zh-CN" w:bidi="ar-SA"/>
        </w:rPr>
        <w:t>。</w:t>
      </w:r>
    </w:p>
    <w:p w14:paraId="569E89F9">
      <w:pPr>
        <w:pStyle w:val="3"/>
        <w:pageBreakBefore w:val="0"/>
        <w:kinsoku/>
        <w:wordWrap/>
        <w:topLinePunct w:val="0"/>
        <w:bidi w:val="0"/>
        <w:spacing w:beforeAutospacing="0" w:afterAutospacing="0" w:line="560" w:lineRule="exact"/>
        <w:ind w:left="0" w:leftChars="0" w:firstLine="640" w:firstLineChars="200"/>
        <w:rPr>
          <w:rFonts w:hint="eastAsia" w:ascii="楷体_GB2312" w:hAnsi="楷体_GB2312" w:eastAsia="楷体_GB2312" w:cs="楷体_GB2312"/>
          <w:b w:val="0"/>
          <w:bCs w:val="0"/>
          <w:color w:val="auto"/>
          <w:kern w:val="2"/>
          <w:sz w:val="32"/>
          <w:szCs w:val="32"/>
          <w:highlight w:val="none"/>
          <w:u w:val="none"/>
          <w:lang w:val="en-US" w:eastAsia="zh-CN" w:bidi="ar-SA"/>
        </w:rPr>
      </w:pPr>
      <w:bookmarkStart w:id="117" w:name="_Toc15514"/>
      <w:bookmarkStart w:id="118" w:name="_Toc28612"/>
      <w:bookmarkStart w:id="119" w:name="_Toc7933"/>
      <w:bookmarkStart w:id="120" w:name="_Toc18504"/>
      <w:bookmarkStart w:id="121" w:name="_Toc8234"/>
      <w:r>
        <w:rPr>
          <w:rFonts w:hint="eastAsia" w:ascii="楷体_GB2312" w:hAnsi="楷体_GB2312" w:eastAsia="楷体_GB2312" w:cs="楷体_GB2312"/>
          <w:b w:val="0"/>
          <w:bCs w:val="0"/>
          <w:color w:val="auto"/>
          <w:kern w:val="2"/>
          <w:sz w:val="32"/>
          <w:szCs w:val="32"/>
          <w:highlight w:val="none"/>
          <w:u w:val="none"/>
          <w:lang w:val="en-US" w:eastAsia="zh-CN" w:bidi="ar-SA"/>
        </w:rPr>
        <w:t>（六）突发事件应急管理体系</w:t>
      </w:r>
      <w:bookmarkEnd w:id="117"/>
      <w:bookmarkEnd w:id="118"/>
    </w:p>
    <w:p w14:paraId="3E0AFDFC">
      <w:pPr>
        <w:pageBreakBefore w:val="0"/>
        <w:kinsoku/>
        <w:wordWrap/>
        <w:topLinePunct w:val="0"/>
        <w:bidi w:val="0"/>
        <w:spacing w:beforeAutospacing="0" w:afterAutospacing="0" w:line="560" w:lineRule="exact"/>
        <w:ind w:left="0" w:leftChars="0" w:firstLine="0" w:firstLineChars="0"/>
        <w:rPr>
          <w:rFonts w:hint="eastAsia" w:ascii="Times New Roman" w:hAnsi="Times New Roman" w:eastAsia="仿宋_GB2312" w:cs="Times New Roman"/>
          <w:b w:val="0"/>
          <w:bCs w:val="0"/>
          <w:color w:val="auto"/>
          <w:kern w:val="2"/>
          <w:sz w:val="32"/>
          <w:szCs w:val="32"/>
          <w:highlight w:val="none"/>
          <w:u w:val="none"/>
          <w:lang w:val="en-US" w:eastAsia="zh-CN" w:bidi="ar-SA"/>
        </w:rPr>
      </w:pPr>
      <w:r>
        <w:rPr>
          <w:rFonts w:hint="eastAsia" w:eastAsia="仿宋_GB2312" w:cs="Times New Roman"/>
          <w:b w:val="0"/>
          <w:bCs w:val="0"/>
          <w:color w:val="auto"/>
          <w:kern w:val="2"/>
          <w:sz w:val="32"/>
          <w:szCs w:val="32"/>
          <w:highlight w:val="none"/>
          <w:u w:val="none"/>
          <w:lang w:val="en-US" w:eastAsia="zh-CN" w:bidi="ar-SA"/>
        </w:rPr>
        <w:t xml:space="preserve">    </w:t>
      </w:r>
      <w:r>
        <w:rPr>
          <w:rFonts w:hint="default" w:ascii="Times New Roman" w:hAnsi="Times New Roman" w:eastAsia="仿宋_GB2312" w:cs="Times New Roman"/>
          <w:b w:val="0"/>
          <w:bCs w:val="0"/>
          <w:color w:val="auto"/>
          <w:kern w:val="2"/>
          <w:sz w:val="32"/>
          <w:szCs w:val="32"/>
          <w:highlight w:val="none"/>
          <w:u w:val="none"/>
          <w:lang w:val="en-US" w:eastAsia="zh-CN" w:bidi="ar-SA"/>
        </w:rPr>
        <w:t>1</w:t>
      </w:r>
      <w:r>
        <w:rPr>
          <w:rFonts w:hint="eastAsia" w:eastAsia="仿宋_GB2312" w:cs="Times New Roman"/>
          <w:b w:val="0"/>
          <w:bCs w:val="0"/>
          <w:color w:val="auto"/>
          <w:kern w:val="2"/>
          <w:sz w:val="32"/>
          <w:szCs w:val="32"/>
          <w:highlight w:val="none"/>
          <w:u w:val="none"/>
          <w:lang w:val="en-US" w:eastAsia="zh-CN" w:bidi="ar-SA"/>
        </w:rPr>
        <w:t>．</w:t>
      </w:r>
      <w:r>
        <w:rPr>
          <w:rFonts w:hint="eastAsia" w:ascii="Times New Roman" w:hAnsi="Times New Roman" w:eastAsia="仿宋_GB2312" w:cs="Times New Roman"/>
          <w:b w:val="0"/>
          <w:bCs w:val="0"/>
          <w:color w:val="auto"/>
          <w:kern w:val="2"/>
          <w:sz w:val="32"/>
          <w:szCs w:val="32"/>
          <w:highlight w:val="none"/>
          <w:u w:val="none"/>
          <w:lang w:val="en-US" w:eastAsia="zh-CN" w:bidi="ar-SA"/>
        </w:rPr>
        <w:t>规划原则</w:t>
      </w:r>
    </w:p>
    <w:p w14:paraId="54F949AF">
      <w:pPr>
        <w:pageBreakBefore w:val="0"/>
        <w:kinsoku/>
        <w:wordWrap/>
        <w:topLinePunct w:val="0"/>
        <w:bidi w:val="0"/>
        <w:spacing w:beforeAutospacing="0" w:afterAutospacing="0" w:line="560" w:lineRule="exact"/>
        <w:ind w:left="0" w:leftChars="0"/>
        <w:rPr>
          <w:rFonts w:hint="eastAsia" w:ascii="Times New Roman" w:hAnsi="Times New Roman" w:eastAsia="仿宋_GB2312" w:cs="Times New Roman"/>
          <w:b w:val="0"/>
          <w:bCs w:val="0"/>
          <w:color w:val="auto"/>
          <w:kern w:val="2"/>
          <w:sz w:val="32"/>
          <w:szCs w:val="32"/>
          <w:highlight w:val="none"/>
          <w:u w:val="none"/>
          <w:lang w:val="en-US" w:eastAsia="zh-CN" w:bidi="ar-SA"/>
        </w:rPr>
      </w:pPr>
      <w:r>
        <w:rPr>
          <w:rFonts w:hint="eastAsia" w:ascii="Times New Roman" w:hAnsi="Times New Roman" w:eastAsia="仿宋_GB2312" w:cs="Times New Roman"/>
          <w:b w:val="0"/>
          <w:bCs w:val="0"/>
          <w:color w:val="auto"/>
          <w:kern w:val="2"/>
          <w:sz w:val="32"/>
          <w:szCs w:val="32"/>
          <w:highlight w:val="none"/>
          <w:u w:val="none"/>
          <w:lang w:val="en-US" w:eastAsia="zh-CN" w:bidi="ar-SA"/>
        </w:rPr>
        <w:t>（</w:t>
      </w:r>
      <w:r>
        <w:rPr>
          <w:rFonts w:hint="default" w:ascii="Times New Roman" w:hAnsi="Times New Roman" w:eastAsia="仿宋_GB2312" w:cs="Times New Roman"/>
          <w:b w:val="0"/>
          <w:bCs w:val="0"/>
          <w:color w:val="auto"/>
          <w:kern w:val="2"/>
          <w:sz w:val="32"/>
          <w:szCs w:val="32"/>
          <w:highlight w:val="none"/>
          <w:u w:val="none"/>
          <w:lang w:val="en-US" w:eastAsia="zh-CN" w:bidi="ar-SA"/>
        </w:rPr>
        <w:t>1</w:t>
      </w:r>
      <w:r>
        <w:rPr>
          <w:rFonts w:hint="eastAsia" w:ascii="Times New Roman" w:hAnsi="Times New Roman" w:eastAsia="仿宋_GB2312" w:cs="Times New Roman"/>
          <w:b w:val="0"/>
          <w:bCs w:val="0"/>
          <w:color w:val="auto"/>
          <w:kern w:val="2"/>
          <w:sz w:val="32"/>
          <w:szCs w:val="32"/>
          <w:highlight w:val="none"/>
          <w:u w:val="none"/>
          <w:lang w:val="en-US" w:eastAsia="zh-CN" w:bidi="ar-SA"/>
        </w:rPr>
        <w:t>）以人为本，把保障人民生命安全作为灾害事故应急处置的首要任务，充分发挥人的主观能动性，采取各种有效手段和措施，提高城市建筑垃圾环境卫生管理水平。</w:t>
      </w:r>
    </w:p>
    <w:p w14:paraId="562C840C">
      <w:pPr>
        <w:pageBreakBefore w:val="0"/>
        <w:kinsoku/>
        <w:wordWrap/>
        <w:topLinePunct w:val="0"/>
        <w:bidi w:val="0"/>
        <w:spacing w:beforeAutospacing="0" w:afterAutospacing="0" w:line="560" w:lineRule="exact"/>
        <w:ind w:left="0" w:leftChars="0"/>
        <w:rPr>
          <w:rFonts w:hint="eastAsia" w:ascii="Times New Roman" w:hAnsi="Times New Roman" w:eastAsia="仿宋_GB2312" w:cs="Times New Roman"/>
          <w:b w:val="0"/>
          <w:bCs w:val="0"/>
          <w:color w:val="auto"/>
          <w:kern w:val="2"/>
          <w:sz w:val="32"/>
          <w:szCs w:val="32"/>
          <w:highlight w:val="none"/>
          <w:u w:val="none"/>
          <w:lang w:val="en-US" w:eastAsia="zh-CN" w:bidi="ar-SA"/>
        </w:rPr>
      </w:pPr>
      <w:r>
        <w:rPr>
          <w:rFonts w:hint="eastAsia" w:ascii="Times New Roman" w:hAnsi="Times New Roman" w:eastAsia="仿宋_GB2312" w:cs="Times New Roman"/>
          <w:b w:val="0"/>
          <w:bCs w:val="0"/>
          <w:color w:val="auto"/>
          <w:kern w:val="2"/>
          <w:sz w:val="32"/>
          <w:szCs w:val="32"/>
          <w:highlight w:val="none"/>
          <w:u w:val="none"/>
          <w:lang w:val="en-US" w:eastAsia="zh-CN" w:bidi="ar-SA"/>
        </w:rPr>
        <w:t>（</w:t>
      </w:r>
      <w:r>
        <w:rPr>
          <w:rFonts w:hint="default" w:ascii="Times New Roman" w:hAnsi="Times New Roman" w:eastAsia="仿宋_GB2312" w:cs="Times New Roman"/>
          <w:b w:val="0"/>
          <w:bCs w:val="0"/>
          <w:color w:val="auto"/>
          <w:kern w:val="2"/>
          <w:sz w:val="32"/>
          <w:szCs w:val="32"/>
          <w:highlight w:val="none"/>
          <w:u w:val="none"/>
          <w:lang w:val="en-US" w:eastAsia="zh-CN" w:bidi="ar-SA"/>
        </w:rPr>
        <w:t>2</w:t>
      </w:r>
      <w:r>
        <w:rPr>
          <w:rFonts w:hint="eastAsia" w:ascii="Times New Roman" w:hAnsi="Times New Roman" w:eastAsia="仿宋_GB2312" w:cs="Times New Roman"/>
          <w:b w:val="0"/>
          <w:bCs w:val="0"/>
          <w:color w:val="auto"/>
          <w:kern w:val="2"/>
          <w:sz w:val="32"/>
          <w:szCs w:val="32"/>
          <w:highlight w:val="none"/>
          <w:u w:val="none"/>
          <w:lang w:val="en-US" w:eastAsia="zh-CN" w:bidi="ar-SA"/>
        </w:rPr>
        <w:t>）以防为主，把灾害预防作为减灾工作的中心环节和主要任务，完善工作机制，形成整体合力，提高对灾害事故发生发展过程的综合管理和紧急处置能力。</w:t>
      </w:r>
    </w:p>
    <w:p w14:paraId="61647534">
      <w:pPr>
        <w:pageBreakBefore w:val="0"/>
        <w:kinsoku/>
        <w:wordWrap/>
        <w:topLinePunct w:val="0"/>
        <w:bidi w:val="0"/>
        <w:spacing w:beforeAutospacing="0" w:afterAutospacing="0" w:line="560" w:lineRule="exact"/>
        <w:ind w:left="0" w:leftChars="0"/>
        <w:rPr>
          <w:rFonts w:hint="eastAsia" w:ascii="Times New Roman" w:hAnsi="Times New Roman" w:eastAsia="仿宋_GB2312" w:cs="Times New Roman"/>
          <w:b w:val="0"/>
          <w:bCs w:val="0"/>
          <w:color w:val="auto"/>
          <w:kern w:val="2"/>
          <w:sz w:val="32"/>
          <w:szCs w:val="32"/>
          <w:highlight w:val="none"/>
          <w:u w:val="none"/>
          <w:lang w:val="en-US" w:eastAsia="zh-CN" w:bidi="ar-SA"/>
        </w:rPr>
      </w:pPr>
      <w:r>
        <w:rPr>
          <w:rFonts w:hint="eastAsia" w:ascii="Times New Roman" w:hAnsi="Times New Roman" w:eastAsia="仿宋_GB2312" w:cs="Times New Roman"/>
          <w:b w:val="0"/>
          <w:bCs w:val="0"/>
          <w:color w:val="auto"/>
          <w:kern w:val="2"/>
          <w:sz w:val="32"/>
          <w:szCs w:val="32"/>
          <w:highlight w:val="none"/>
          <w:u w:val="none"/>
          <w:lang w:val="en-US" w:eastAsia="zh-CN" w:bidi="ar-SA"/>
        </w:rPr>
        <w:t>（</w:t>
      </w:r>
      <w:r>
        <w:rPr>
          <w:rFonts w:hint="default" w:ascii="Times New Roman" w:hAnsi="Times New Roman" w:eastAsia="仿宋_GB2312" w:cs="Times New Roman"/>
          <w:b w:val="0"/>
          <w:bCs w:val="0"/>
          <w:color w:val="auto"/>
          <w:kern w:val="2"/>
          <w:sz w:val="32"/>
          <w:szCs w:val="32"/>
          <w:highlight w:val="none"/>
          <w:u w:val="none"/>
          <w:lang w:val="en-US" w:eastAsia="zh-CN" w:bidi="ar-SA"/>
        </w:rPr>
        <w:t>3</w:t>
      </w:r>
      <w:r>
        <w:rPr>
          <w:rFonts w:hint="eastAsia" w:ascii="Times New Roman" w:hAnsi="Times New Roman" w:eastAsia="仿宋_GB2312" w:cs="Times New Roman"/>
          <w:b w:val="0"/>
          <w:bCs w:val="0"/>
          <w:color w:val="auto"/>
          <w:kern w:val="2"/>
          <w:sz w:val="32"/>
          <w:szCs w:val="32"/>
          <w:highlight w:val="none"/>
          <w:u w:val="none"/>
          <w:lang w:val="en-US" w:eastAsia="zh-CN" w:bidi="ar-SA"/>
        </w:rPr>
        <w:t>）平战结合，按照长期准备、重点建设的要求，把平时的应急管理与战时动员相结合。</w:t>
      </w:r>
    </w:p>
    <w:p w14:paraId="34D9C832">
      <w:pPr>
        <w:pageBreakBefore w:val="0"/>
        <w:kinsoku/>
        <w:wordWrap/>
        <w:topLinePunct w:val="0"/>
        <w:bidi w:val="0"/>
        <w:spacing w:beforeAutospacing="0" w:afterAutospacing="0" w:line="560" w:lineRule="exact"/>
        <w:ind w:left="0" w:leftChars="0" w:firstLine="640" w:firstLineChars="200"/>
        <w:rPr>
          <w:rFonts w:hint="eastAsia" w:ascii="Times New Roman" w:hAnsi="Times New Roman" w:eastAsia="仿宋_GB2312" w:cs="Times New Roman"/>
          <w:b w:val="0"/>
          <w:bCs w:val="0"/>
          <w:color w:val="auto"/>
          <w:kern w:val="2"/>
          <w:sz w:val="32"/>
          <w:szCs w:val="32"/>
          <w:highlight w:val="none"/>
          <w:u w:val="none"/>
          <w:lang w:val="en-US" w:eastAsia="zh-CN" w:bidi="ar-SA"/>
        </w:rPr>
      </w:pPr>
      <w:r>
        <w:rPr>
          <w:rFonts w:hint="default" w:ascii="Times New Roman" w:hAnsi="Times New Roman" w:eastAsia="仿宋_GB2312" w:cs="Times New Roman"/>
          <w:b w:val="0"/>
          <w:bCs w:val="0"/>
          <w:color w:val="auto"/>
          <w:kern w:val="2"/>
          <w:sz w:val="32"/>
          <w:szCs w:val="32"/>
          <w:highlight w:val="none"/>
          <w:u w:val="none"/>
          <w:lang w:val="en-US" w:eastAsia="zh-CN" w:bidi="ar-SA"/>
        </w:rPr>
        <w:t>2</w:t>
      </w:r>
      <w:r>
        <w:rPr>
          <w:rFonts w:hint="eastAsia" w:eastAsia="仿宋_GB2312" w:cs="Times New Roman"/>
          <w:b w:val="0"/>
          <w:bCs w:val="0"/>
          <w:color w:val="auto"/>
          <w:kern w:val="2"/>
          <w:sz w:val="32"/>
          <w:szCs w:val="32"/>
          <w:highlight w:val="none"/>
          <w:u w:val="none"/>
          <w:lang w:val="en-US" w:eastAsia="zh-CN" w:bidi="ar-SA"/>
        </w:rPr>
        <w:t>．</w:t>
      </w:r>
      <w:r>
        <w:rPr>
          <w:rFonts w:hint="eastAsia" w:ascii="Times New Roman" w:hAnsi="Times New Roman" w:eastAsia="仿宋_GB2312" w:cs="Times New Roman"/>
          <w:b w:val="0"/>
          <w:bCs w:val="0"/>
          <w:color w:val="auto"/>
          <w:kern w:val="2"/>
          <w:sz w:val="32"/>
          <w:szCs w:val="32"/>
          <w:highlight w:val="none"/>
          <w:u w:val="none"/>
          <w:lang w:val="en-US" w:eastAsia="zh-CN" w:bidi="ar-SA"/>
        </w:rPr>
        <w:t>组织机构及职责</w:t>
      </w:r>
    </w:p>
    <w:p w14:paraId="5150C5C8">
      <w:pPr>
        <w:pageBreakBefore w:val="0"/>
        <w:kinsoku/>
        <w:wordWrap/>
        <w:topLinePunct w:val="0"/>
        <w:bidi w:val="0"/>
        <w:spacing w:beforeAutospacing="0" w:afterAutospacing="0" w:line="560" w:lineRule="exact"/>
        <w:ind w:left="0" w:leftChars="0"/>
        <w:rPr>
          <w:rFonts w:hint="default" w:ascii="Times New Roman" w:hAnsi="Times New Roman" w:eastAsia="仿宋_GB2312" w:cs="Times New Roman"/>
          <w:b w:val="0"/>
          <w:bCs w:val="0"/>
          <w:color w:val="auto"/>
          <w:kern w:val="2"/>
          <w:sz w:val="32"/>
          <w:szCs w:val="32"/>
          <w:highlight w:val="none"/>
          <w:u w:val="none"/>
          <w:lang w:val="en-US" w:eastAsia="zh-CN" w:bidi="ar-SA"/>
        </w:rPr>
      </w:pPr>
      <w:r>
        <w:rPr>
          <w:rFonts w:hint="eastAsia" w:eastAsia="仿宋_GB2312" w:cs="Times New Roman"/>
          <w:b w:val="0"/>
          <w:bCs w:val="0"/>
          <w:color w:val="auto"/>
          <w:kern w:val="2"/>
          <w:sz w:val="32"/>
          <w:szCs w:val="32"/>
          <w:highlight w:val="none"/>
          <w:u w:val="none"/>
          <w:lang w:val="en-US" w:eastAsia="zh-CN" w:bidi="ar-SA"/>
        </w:rPr>
        <w:t>（</w:t>
      </w:r>
      <w:r>
        <w:rPr>
          <w:rFonts w:hint="default" w:ascii="Times New Roman" w:hAnsi="Times New Roman" w:eastAsia="仿宋_GB2312" w:cs="Times New Roman"/>
          <w:b w:val="0"/>
          <w:bCs w:val="0"/>
          <w:color w:val="auto"/>
          <w:kern w:val="2"/>
          <w:sz w:val="32"/>
          <w:szCs w:val="32"/>
          <w:highlight w:val="none"/>
          <w:u w:val="none"/>
          <w:lang w:val="en-US" w:eastAsia="zh-CN" w:bidi="ar-SA"/>
        </w:rPr>
        <w:t>1</w:t>
      </w:r>
      <w:r>
        <w:rPr>
          <w:rFonts w:hint="eastAsia" w:eastAsia="仿宋_GB2312" w:cs="Times New Roman"/>
          <w:b w:val="0"/>
          <w:bCs w:val="0"/>
          <w:color w:val="auto"/>
          <w:kern w:val="2"/>
          <w:sz w:val="32"/>
          <w:szCs w:val="32"/>
          <w:highlight w:val="none"/>
          <w:u w:val="none"/>
          <w:lang w:val="en-US" w:eastAsia="zh-CN" w:bidi="ar-SA"/>
        </w:rPr>
        <w:t>）</w:t>
      </w:r>
      <w:r>
        <w:rPr>
          <w:rFonts w:hint="default" w:ascii="Times New Roman" w:hAnsi="Times New Roman" w:eastAsia="仿宋_GB2312" w:cs="Times New Roman"/>
          <w:b w:val="0"/>
          <w:bCs w:val="0"/>
          <w:color w:val="auto"/>
          <w:kern w:val="2"/>
          <w:sz w:val="32"/>
          <w:szCs w:val="32"/>
          <w:highlight w:val="none"/>
          <w:u w:val="none"/>
          <w:lang w:val="en-US" w:eastAsia="zh-CN" w:bidi="ar-SA"/>
        </w:rPr>
        <w:t>机构组织</w:t>
      </w:r>
      <w:r>
        <w:rPr>
          <w:rFonts w:hint="eastAsia" w:eastAsia="仿宋_GB2312" w:cs="Times New Roman"/>
          <w:b w:val="0"/>
          <w:bCs w:val="0"/>
          <w:color w:val="auto"/>
          <w:kern w:val="2"/>
          <w:sz w:val="32"/>
          <w:szCs w:val="32"/>
          <w:highlight w:val="none"/>
          <w:u w:val="none"/>
          <w:lang w:val="en-US" w:eastAsia="zh-CN" w:bidi="ar-SA"/>
        </w:rPr>
        <w:t>。</w:t>
      </w:r>
      <w:r>
        <w:rPr>
          <w:rFonts w:hint="default" w:ascii="Times New Roman" w:hAnsi="Times New Roman" w:eastAsia="仿宋_GB2312" w:cs="Times New Roman"/>
          <w:b w:val="0"/>
          <w:bCs w:val="0"/>
          <w:color w:val="auto"/>
          <w:kern w:val="2"/>
          <w:sz w:val="32"/>
          <w:szCs w:val="32"/>
          <w:highlight w:val="none"/>
          <w:u w:val="none"/>
          <w:lang w:val="en-US" w:eastAsia="zh-CN" w:bidi="ar-SA"/>
        </w:rPr>
        <w:t>按照</w:t>
      </w:r>
      <w:r>
        <w:rPr>
          <w:rFonts w:hint="eastAsia" w:ascii="仿宋_GB2312" w:hAnsi="仿宋_GB2312" w:eastAsia="仿宋_GB2312" w:cs="仿宋_GB2312"/>
          <w:b w:val="0"/>
          <w:bCs w:val="0"/>
          <w:color w:val="auto"/>
          <w:kern w:val="2"/>
          <w:sz w:val="32"/>
          <w:szCs w:val="32"/>
          <w:highlight w:val="none"/>
          <w:u w:val="none"/>
          <w:lang w:val="en-US" w:eastAsia="zh-CN" w:bidi="ar-SA"/>
        </w:rPr>
        <w:t>“</w:t>
      </w:r>
      <w:r>
        <w:rPr>
          <w:rFonts w:hint="default" w:ascii="Times New Roman" w:hAnsi="Times New Roman" w:eastAsia="仿宋_GB2312" w:cs="Times New Roman"/>
          <w:b w:val="0"/>
          <w:bCs w:val="0"/>
          <w:color w:val="auto"/>
          <w:kern w:val="2"/>
          <w:sz w:val="32"/>
          <w:szCs w:val="32"/>
          <w:highlight w:val="none"/>
          <w:u w:val="none"/>
          <w:lang w:val="en-US" w:eastAsia="zh-CN" w:bidi="ar-SA"/>
        </w:rPr>
        <w:t>精简、统一、高效</w:t>
      </w:r>
      <w:r>
        <w:rPr>
          <w:rFonts w:hint="eastAsia" w:ascii="仿宋_GB2312" w:hAnsi="仿宋_GB2312" w:eastAsia="仿宋_GB2312" w:cs="仿宋_GB2312"/>
          <w:b w:val="0"/>
          <w:bCs w:val="0"/>
          <w:color w:val="auto"/>
          <w:kern w:val="2"/>
          <w:sz w:val="32"/>
          <w:szCs w:val="32"/>
          <w:highlight w:val="none"/>
          <w:u w:val="none"/>
          <w:lang w:val="en-US" w:eastAsia="zh-CN" w:bidi="ar-SA"/>
        </w:rPr>
        <w:t>”</w:t>
      </w:r>
      <w:r>
        <w:rPr>
          <w:rFonts w:hint="default" w:ascii="Times New Roman" w:hAnsi="Times New Roman" w:eastAsia="仿宋_GB2312" w:cs="Times New Roman"/>
          <w:b w:val="0"/>
          <w:bCs w:val="0"/>
          <w:color w:val="auto"/>
          <w:kern w:val="2"/>
          <w:sz w:val="32"/>
          <w:szCs w:val="32"/>
          <w:highlight w:val="none"/>
          <w:u w:val="none"/>
          <w:lang w:val="en-US" w:eastAsia="zh-CN" w:bidi="ar-SA"/>
        </w:rPr>
        <w:t>要求，设立建筑垃圾应急预案指挥部，统一领导应急预案工作。应急预案指挥部设总指挥1名，副总指挥若干名，应急预案指挥部</w:t>
      </w:r>
      <w:r>
        <w:rPr>
          <w:rFonts w:hint="eastAsia" w:eastAsia="仿宋_GB2312" w:cs="Times New Roman"/>
          <w:b w:val="0"/>
          <w:bCs w:val="0"/>
          <w:color w:val="auto"/>
          <w:kern w:val="2"/>
          <w:sz w:val="32"/>
          <w:szCs w:val="32"/>
          <w:highlight w:val="none"/>
          <w:u w:val="none"/>
          <w:lang w:val="en-US" w:eastAsia="zh-CN" w:bidi="ar-SA"/>
        </w:rPr>
        <w:t>在规划期结束后自行解散</w:t>
      </w:r>
      <w:r>
        <w:rPr>
          <w:rFonts w:hint="default" w:ascii="Times New Roman" w:hAnsi="Times New Roman" w:eastAsia="仿宋_GB2312" w:cs="Times New Roman"/>
          <w:b w:val="0"/>
          <w:bCs w:val="0"/>
          <w:color w:val="auto"/>
          <w:kern w:val="2"/>
          <w:sz w:val="32"/>
          <w:szCs w:val="32"/>
          <w:highlight w:val="none"/>
          <w:u w:val="none"/>
          <w:lang w:val="en-US" w:eastAsia="zh-CN" w:bidi="ar-SA"/>
        </w:rPr>
        <w:t>。</w:t>
      </w:r>
    </w:p>
    <w:p w14:paraId="466EC08D">
      <w:pPr>
        <w:pageBreakBefore w:val="0"/>
        <w:kinsoku/>
        <w:wordWrap/>
        <w:topLinePunct w:val="0"/>
        <w:bidi w:val="0"/>
        <w:spacing w:beforeAutospacing="0" w:afterAutospacing="0" w:line="560" w:lineRule="exact"/>
        <w:ind w:left="0" w:leftChars="0"/>
        <w:rPr>
          <w:rFonts w:hint="default" w:ascii="Times New Roman" w:hAnsi="Times New Roman" w:eastAsia="仿宋_GB2312" w:cs="Times New Roman"/>
          <w:b w:val="0"/>
          <w:bCs w:val="0"/>
          <w:color w:val="auto"/>
          <w:kern w:val="2"/>
          <w:sz w:val="32"/>
          <w:szCs w:val="32"/>
          <w:highlight w:val="none"/>
          <w:u w:val="none"/>
          <w:lang w:val="en-US" w:eastAsia="zh-CN" w:bidi="ar-SA"/>
        </w:rPr>
      </w:pPr>
      <w:r>
        <w:rPr>
          <w:rFonts w:hint="eastAsia" w:eastAsia="仿宋_GB2312" w:cs="Times New Roman"/>
          <w:b w:val="0"/>
          <w:bCs w:val="0"/>
          <w:color w:val="auto"/>
          <w:kern w:val="2"/>
          <w:sz w:val="32"/>
          <w:szCs w:val="32"/>
          <w:highlight w:val="none"/>
          <w:u w:val="none"/>
          <w:lang w:val="en-US" w:eastAsia="zh-CN" w:bidi="ar-SA"/>
        </w:rPr>
        <w:t>（</w:t>
      </w:r>
      <w:r>
        <w:rPr>
          <w:rFonts w:hint="default" w:ascii="Times New Roman" w:hAnsi="Times New Roman" w:eastAsia="仿宋_GB2312" w:cs="Times New Roman"/>
          <w:b w:val="0"/>
          <w:bCs w:val="0"/>
          <w:color w:val="auto"/>
          <w:kern w:val="2"/>
          <w:sz w:val="32"/>
          <w:szCs w:val="32"/>
          <w:highlight w:val="none"/>
          <w:u w:val="none"/>
          <w:lang w:val="en-US" w:eastAsia="zh-CN" w:bidi="ar-SA"/>
        </w:rPr>
        <w:t>2</w:t>
      </w:r>
      <w:r>
        <w:rPr>
          <w:rFonts w:hint="eastAsia" w:eastAsia="仿宋_GB2312" w:cs="Times New Roman"/>
          <w:b w:val="0"/>
          <w:bCs w:val="0"/>
          <w:color w:val="auto"/>
          <w:kern w:val="2"/>
          <w:sz w:val="32"/>
          <w:szCs w:val="32"/>
          <w:highlight w:val="none"/>
          <w:u w:val="none"/>
          <w:lang w:val="en-US" w:eastAsia="zh-CN" w:bidi="ar-SA"/>
        </w:rPr>
        <w:t>）</w:t>
      </w:r>
      <w:r>
        <w:rPr>
          <w:rFonts w:hint="default" w:ascii="Times New Roman" w:hAnsi="Times New Roman" w:eastAsia="仿宋_GB2312" w:cs="Times New Roman"/>
          <w:b w:val="0"/>
          <w:bCs w:val="0"/>
          <w:color w:val="auto"/>
          <w:kern w:val="2"/>
          <w:sz w:val="32"/>
          <w:szCs w:val="32"/>
          <w:highlight w:val="none"/>
          <w:u w:val="none"/>
          <w:lang w:val="en-US" w:eastAsia="zh-CN" w:bidi="ar-SA"/>
        </w:rPr>
        <w:t>主要职责</w:t>
      </w:r>
      <w:r>
        <w:rPr>
          <w:rFonts w:hint="eastAsia" w:eastAsia="仿宋_GB2312" w:cs="Times New Roman"/>
          <w:b w:val="0"/>
          <w:bCs w:val="0"/>
          <w:color w:val="auto"/>
          <w:kern w:val="2"/>
          <w:sz w:val="32"/>
          <w:szCs w:val="32"/>
          <w:highlight w:val="none"/>
          <w:u w:val="none"/>
          <w:lang w:val="en-US" w:eastAsia="zh-CN" w:bidi="ar-SA"/>
        </w:rPr>
        <w:t>。</w:t>
      </w:r>
      <w:r>
        <w:rPr>
          <w:rFonts w:hint="default" w:ascii="Times New Roman" w:hAnsi="Times New Roman" w:eastAsia="仿宋_GB2312" w:cs="Times New Roman"/>
          <w:b w:val="0"/>
          <w:bCs w:val="0"/>
          <w:color w:val="auto"/>
          <w:kern w:val="2"/>
          <w:sz w:val="32"/>
          <w:szCs w:val="32"/>
          <w:highlight w:val="none"/>
          <w:u w:val="none"/>
          <w:lang w:val="en-US" w:eastAsia="zh-CN" w:bidi="ar-SA"/>
        </w:rPr>
        <w:t>研究确定建筑垃圾应急预案工作重大决策和指导意见，部署并总结年度工作，指导建筑垃圾应急预案项目建设，在发生建筑垃圾环境卫生事故和必要时，决定启动应急指挥中心，并实施组织指挥。</w:t>
      </w:r>
    </w:p>
    <w:p w14:paraId="41A032CD">
      <w:pPr>
        <w:pageBreakBefore w:val="0"/>
        <w:kinsoku/>
        <w:wordWrap/>
        <w:topLinePunct w:val="0"/>
        <w:bidi w:val="0"/>
        <w:spacing w:beforeAutospacing="0" w:afterAutospacing="0" w:line="560" w:lineRule="exact"/>
        <w:ind w:left="0" w:leftChars="0" w:firstLine="640" w:firstLineChars="200"/>
        <w:rPr>
          <w:rFonts w:hint="eastAsia" w:ascii="Times New Roman" w:hAnsi="Times New Roman" w:eastAsia="仿宋_GB2312" w:cs="Times New Roman"/>
          <w:b w:val="0"/>
          <w:bCs w:val="0"/>
          <w:color w:val="auto"/>
          <w:kern w:val="2"/>
          <w:sz w:val="32"/>
          <w:szCs w:val="32"/>
          <w:highlight w:val="none"/>
          <w:u w:val="none"/>
          <w:lang w:val="en-US" w:eastAsia="zh-CN" w:bidi="ar-SA"/>
        </w:rPr>
      </w:pPr>
      <w:r>
        <w:rPr>
          <w:rFonts w:hint="default" w:ascii="Times New Roman" w:hAnsi="Times New Roman" w:eastAsia="仿宋_GB2312" w:cs="Times New Roman"/>
          <w:b w:val="0"/>
          <w:bCs w:val="0"/>
          <w:color w:val="auto"/>
          <w:kern w:val="2"/>
          <w:sz w:val="32"/>
          <w:szCs w:val="32"/>
          <w:highlight w:val="none"/>
          <w:u w:val="none"/>
          <w:lang w:val="en-US" w:eastAsia="zh-CN" w:bidi="ar-SA"/>
        </w:rPr>
        <w:t>3</w:t>
      </w:r>
      <w:r>
        <w:rPr>
          <w:rFonts w:hint="eastAsia" w:eastAsia="仿宋_GB2312" w:cs="Times New Roman"/>
          <w:b w:val="0"/>
          <w:bCs w:val="0"/>
          <w:color w:val="auto"/>
          <w:kern w:val="2"/>
          <w:sz w:val="32"/>
          <w:szCs w:val="32"/>
          <w:highlight w:val="none"/>
          <w:u w:val="none"/>
          <w:lang w:val="en-US" w:eastAsia="zh-CN" w:bidi="ar-SA"/>
        </w:rPr>
        <w:t>．</w:t>
      </w:r>
      <w:r>
        <w:rPr>
          <w:rFonts w:hint="eastAsia" w:ascii="Times New Roman" w:hAnsi="Times New Roman" w:eastAsia="仿宋_GB2312" w:cs="Times New Roman"/>
          <w:b w:val="0"/>
          <w:bCs w:val="0"/>
          <w:color w:val="auto"/>
          <w:kern w:val="2"/>
          <w:sz w:val="32"/>
          <w:szCs w:val="32"/>
          <w:highlight w:val="none"/>
          <w:u w:val="none"/>
          <w:lang w:val="en-US" w:eastAsia="zh-CN" w:bidi="ar-SA"/>
        </w:rPr>
        <w:t>突发事件应急预案</w:t>
      </w:r>
    </w:p>
    <w:p w14:paraId="605EC16E">
      <w:pPr>
        <w:pageBreakBefore w:val="0"/>
        <w:kinsoku/>
        <w:wordWrap/>
        <w:topLinePunct w:val="0"/>
        <w:bidi w:val="0"/>
        <w:spacing w:beforeAutospacing="0" w:afterAutospacing="0" w:line="560" w:lineRule="exact"/>
        <w:ind w:left="0" w:leftChars="0"/>
        <w:rPr>
          <w:rFonts w:hint="default" w:ascii="Times New Roman" w:hAnsi="Times New Roman" w:eastAsia="仿宋_GB2312" w:cs="Times New Roman"/>
          <w:b w:val="0"/>
          <w:bCs w:val="0"/>
          <w:color w:val="auto"/>
          <w:kern w:val="2"/>
          <w:sz w:val="32"/>
          <w:szCs w:val="32"/>
          <w:highlight w:val="none"/>
          <w:u w:val="none"/>
          <w:lang w:val="en-US" w:eastAsia="zh-CN" w:bidi="ar-SA"/>
        </w:rPr>
      </w:pPr>
      <w:r>
        <w:rPr>
          <w:rFonts w:hint="default" w:ascii="Times New Roman" w:hAnsi="Times New Roman" w:eastAsia="仿宋_GB2312" w:cs="Times New Roman"/>
          <w:b w:val="0"/>
          <w:bCs w:val="0"/>
          <w:color w:val="auto"/>
          <w:kern w:val="2"/>
          <w:sz w:val="32"/>
          <w:szCs w:val="32"/>
          <w:highlight w:val="none"/>
          <w:u w:val="none"/>
          <w:lang w:val="en-US" w:eastAsia="zh-CN" w:bidi="ar-SA"/>
        </w:rPr>
        <w:t>（1）自然灾害应急预案</w:t>
      </w:r>
    </w:p>
    <w:p w14:paraId="44C6A1A4">
      <w:pPr>
        <w:pageBreakBefore w:val="0"/>
        <w:kinsoku/>
        <w:wordWrap/>
        <w:topLinePunct w:val="0"/>
        <w:bidi w:val="0"/>
        <w:spacing w:beforeAutospacing="0" w:afterAutospacing="0" w:line="560" w:lineRule="exact"/>
        <w:ind w:left="0" w:leftChars="0"/>
        <w:rPr>
          <w:rFonts w:hint="default" w:ascii="Times New Roman" w:hAnsi="Times New Roman" w:eastAsia="仿宋_GB2312" w:cs="Times New Roman"/>
          <w:b w:val="0"/>
          <w:bCs w:val="0"/>
          <w:color w:val="auto"/>
          <w:kern w:val="2"/>
          <w:sz w:val="32"/>
          <w:szCs w:val="32"/>
          <w:highlight w:val="none"/>
          <w:u w:val="none"/>
          <w:lang w:val="en-US" w:eastAsia="zh-CN" w:bidi="ar-SA"/>
        </w:rPr>
      </w:pPr>
      <w:r>
        <w:rPr>
          <w:rFonts w:hint="default" w:ascii="Times New Roman" w:hAnsi="Times New Roman" w:eastAsia="仿宋_GB2312" w:cs="Times New Roman"/>
          <w:b w:val="0"/>
          <w:bCs w:val="0"/>
          <w:color w:val="auto"/>
          <w:kern w:val="2"/>
          <w:sz w:val="32"/>
          <w:szCs w:val="32"/>
          <w:highlight w:val="none"/>
          <w:u w:val="none"/>
          <w:lang w:val="en-US" w:eastAsia="zh-CN" w:bidi="ar-SA"/>
        </w:rPr>
        <w:t>台风应急预案</w:t>
      </w:r>
      <w:r>
        <w:rPr>
          <w:rFonts w:hint="eastAsia" w:eastAsia="仿宋_GB2312" w:cs="Times New Roman"/>
          <w:b w:val="0"/>
          <w:bCs w:val="0"/>
          <w:color w:val="auto"/>
          <w:kern w:val="2"/>
          <w:sz w:val="32"/>
          <w:szCs w:val="32"/>
          <w:highlight w:val="none"/>
          <w:u w:val="none"/>
          <w:lang w:val="en-US" w:eastAsia="zh-CN" w:bidi="ar-SA"/>
        </w:rPr>
        <w:t>：</w:t>
      </w:r>
      <w:r>
        <w:rPr>
          <w:rFonts w:hint="default" w:ascii="Times New Roman" w:hAnsi="Times New Roman" w:eastAsia="仿宋_GB2312" w:cs="Times New Roman"/>
          <w:b w:val="0"/>
          <w:bCs w:val="0"/>
          <w:color w:val="auto"/>
          <w:kern w:val="2"/>
          <w:sz w:val="32"/>
          <w:szCs w:val="32"/>
          <w:highlight w:val="none"/>
          <w:u w:val="none"/>
          <w:lang w:val="en-US" w:eastAsia="zh-CN" w:bidi="ar-SA"/>
        </w:rPr>
        <w:t>接到台风天气预报（10</w:t>
      </w:r>
      <w:r>
        <w:rPr>
          <w:rFonts w:hint="eastAsia" w:eastAsia="仿宋_GB2312" w:cs="Times New Roman"/>
          <w:b w:val="0"/>
          <w:bCs w:val="0"/>
          <w:color w:val="auto"/>
          <w:kern w:val="2"/>
          <w:sz w:val="32"/>
          <w:szCs w:val="32"/>
          <w:highlight w:val="none"/>
          <w:u w:val="none"/>
          <w:lang w:val="en-US" w:eastAsia="zh-CN" w:bidi="ar-SA"/>
        </w:rPr>
        <w:t>—</w:t>
      </w:r>
      <w:r>
        <w:rPr>
          <w:rFonts w:hint="default" w:ascii="Times New Roman" w:hAnsi="Times New Roman" w:eastAsia="仿宋_GB2312" w:cs="Times New Roman"/>
          <w:b w:val="0"/>
          <w:bCs w:val="0"/>
          <w:color w:val="auto"/>
          <w:kern w:val="2"/>
          <w:sz w:val="32"/>
          <w:szCs w:val="32"/>
          <w:highlight w:val="none"/>
          <w:u w:val="none"/>
          <w:lang w:val="en-US" w:eastAsia="zh-CN" w:bidi="ar-SA"/>
        </w:rPr>
        <w:t>15分钟内），对建筑垃圾设施进行安全隐患全面排查和防风加固。台风过后，对建筑垃圾设施损坏情况进行勘察，损坏情况形成书面报告上报</w:t>
      </w:r>
      <w:r>
        <w:rPr>
          <w:rFonts w:hint="eastAsia" w:eastAsia="仿宋_GB2312" w:cs="Times New Roman"/>
          <w:b w:val="0"/>
          <w:bCs w:val="0"/>
          <w:color w:val="auto"/>
          <w:kern w:val="2"/>
          <w:sz w:val="32"/>
          <w:szCs w:val="32"/>
          <w:highlight w:val="none"/>
          <w:u w:val="none"/>
          <w:lang w:val="en-US" w:eastAsia="zh-CN" w:bidi="ar-SA"/>
        </w:rPr>
        <w:t>并及时修复</w:t>
      </w:r>
      <w:r>
        <w:rPr>
          <w:rFonts w:hint="default" w:ascii="Times New Roman" w:hAnsi="Times New Roman" w:eastAsia="仿宋_GB2312" w:cs="Times New Roman"/>
          <w:b w:val="0"/>
          <w:bCs w:val="0"/>
          <w:color w:val="auto"/>
          <w:kern w:val="2"/>
          <w:sz w:val="32"/>
          <w:szCs w:val="32"/>
          <w:highlight w:val="none"/>
          <w:u w:val="none"/>
          <w:lang w:val="en-US" w:eastAsia="zh-CN" w:bidi="ar-SA"/>
        </w:rPr>
        <w:t>。</w:t>
      </w:r>
    </w:p>
    <w:p w14:paraId="55E2901D">
      <w:pPr>
        <w:pageBreakBefore w:val="0"/>
        <w:kinsoku/>
        <w:wordWrap/>
        <w:topLinePunct w:val="0"/>
        <w:bidi w:val="0"/>
        <w:spacing w:beforeAutospacing="0" w:afterAutospacing="0" w:line="560" w:lineRule="exact"/>
        <w:ind w:left="0" w:leftChars="0"/>
        <w:rPr>
          <w:rFonts w:hint="default" w:ascii="Times New Roman" w:hAnsi="Times New Roman" w:eastAsia="仿宋_GB2312" w:cs="Times New Roman"/>
          <w:b w:val="0"/>
          <w:bCs w:val="0"/>
          <w:color w:val="auto"/>
          <w:kern w:val="2"/>
          <w:sz w:val="32"/>
          <w:szCs w:val="32"/>
          <w:highlight w:val="none"/>
          <w:u w:val="none"/>
          <w:lang w:val="en-US" w:eastAsia="zh-CN" w:bidi="ar-SA"/>
        </w:rPr>
      </w:pPr>
      <w:r>
        <w:rPr>
          <w:rFonts w:hint="default" w:ascii="Times New Roman" w:hAnsi="Times New Roman" w:eastAsia="仿宋_GB2312" w:cs="Times New Roman"/>
          <w:b w:val="0"/>
          <w:bCs w:val="0"/>
          <w:color w:val="auto"/>
          <w:kern w:val="2"/>
          <w:sz w:val="32"/>
          <w:szCs w:val="32"/>
          <w:highlight w:val="none"/>
          <w:u w:val="none"/>
          <w:lang w:val="en-US" w:eastAsia="zh-CN" w:bidi="ar-SA"/>
        </w:rPr>
        <w:t>暴雨及洪水应急预案</w:t>
      </w:r>
      <w:r>
        <w:rPr>
          <w:rFonts w:hint="eastAsia" w:eastAsia="仿宋_GB2312" w:cs="Times New Roman"/>
          <w:b w:val="0"/>
          <w:bCs w:val="0"/>
          <w:color w:val="auto"/>
          <w:kern w:val="2"/>
          <w:sz w:val="32"/>
          <w:szCs w:val="32"/>
          <w:highlight w:val="none"/>
          <w:u w:val="none"/>
          <w:lang w:val="en-US" w:eastAsia="zh-CN" w:bidi="ar-SA"/>
        </w:rPr>
        <w:t>：</w:t>
      </w:r>
      <w:r>
        <w:rPr>
          <w:rFonts w:hint="default" w:ascii="Times New Roman" w:hAnsi="Times New Roman" w:eastAsia="仿宋_GB2312" w:cs="Times New Roman"/>
          <w:b w:val="0"/>
          <w:bCs w:val="0"/>
          <w:color w:val="auto"/>
          <w:kern w:val="2"/>
          <w:sz w:val="32"/>
          <w:szCs w:val="32"/>
          <w:highlight w:val="none"/>
          <w:u w:val="none"/>
          <w:lang w:val="en-US" w:eastAsia="zh-CN" w:bidi="ar-SA"/>
        </w:rPr>
        <w:t>接到暴雨及洪水预报（10</w:t>
      </w:r>
      <w:r>
        <w:rPr>
          <w:rFonts w:hint="eastAsia" w:eastAsia="仿宋_GB2312" w:cs="Times New Roman"/>
          <w:b w:val="0"/>
          <w:bCs w:val="0"/>
          <w:color w:val="auto"/>
          <w:kern w:val="2"/>
          <w:sz w:val="32"/>
          <w:szCs w:val="32"/>
          <w:highlight w:val="none"/>
          <w:u w:val="none"/>
          <w:lang w:val="en-US" w:eastAsia="zh-CN" w:bidi="ar-SA"/>
        </w:rPr>
        <w:t>—</w:t>
      </w:r>
      <w:r>
        <w:rPr>
          <w:rFonts w:hint="default" w:ascii="Times New Roman" w:hAnsi="Times New Roman" w:eastAsia="仿宋_GB2312" w:cs="Times New Roman"/>
          <w:b w:val="0"/>
          <w:bCs w:val="0"/>
          <w:color w:val="auto"/>
          <w:kern w:val="2"/>
          <w:sz w:val="32"/>
          <w:szCs w:val="32"/>
          <w:highlight w:val="none"/>
          <w:u w:val="none"/>
          <w:lang w:val="en-US" w:eastAsia="zh-CN" w:bidi="ar-SA"/>
        </w:rPr>
        <w:t>15分钟内），对建筑垃圾设施进行安全隐患全面排查，做好排涝和雨后环境卫生整治准备工作，并准备相关设备、车辆和人员进入待命状态，确保雨后准时到位。暴雨及洪水过后及时了解建筑垃圾设施受损情况，形成书面报告上报</w:t>
      </w:r>
      <w:r>
        <w:rPr>
          <w:rFonts w:hint="eastAsia" w:eastAsia="仿宋_GB2312" w:cs="Times New Roman"/>
          <w:b w:val="0"/>
          <w:bCs w:val="0"/>
          <w:color w:val="auto"/>
          <w:kern w:val="2"/>
          <w:sz w:val="32"/>
          <w:szCs w:val="32"/>
          <w:highlight w:val="none"/>
          <w:u w:val="none"/>
          <w:lang w:val="en-US" w:eastAsia="zh-CN" w:bidi="ar-SA"/>
        </w:rPr>
        <w:t>并及时修复</w:t>
      </w:r>
      <w:r>
        <w:rPr>
          <w:rFonts w:hint="default" w:ascii="Times New Roman" w:hAnsi="Times New Roman" w:eastAsia="仿宋_GB2312" w:cs="Times New Roman"/>
          <w:b w:val="0"/>
          <w:bCs w:val="0"/>
          <w:color w:val="auto"/>
          <w:kern w:val="2"/>
          <w:sz w:val="32"/>
          <w:szCs w:val="32"/>
          <w:highlight w:val="none"/>
          <w:u w:val="none"/>
          <w:lang w:val="en-US" w:eastAsia="zh-CN" w:bidi="ar-SA"/>
        </w:rPr>
        <w:t>。</w:t>
      </w:r>
    </w:p>
    <w:p w14:paraId="2DF037B2">
      <w:pPr>
        <w:pageBreakBefore w:val="0"/>
        <w:kinsoku/>
        <w:wordWrap/>
        <w:topLinePunct w:val="0"/>
        <w:bidi w:val="0"/>
        <w:spacing w:beforeAutospacing="0" w:afterAutospacing="0" w:line="560" w:lineRule="exact"/>
        <w:ind w:left="0" w:leftChars="0"/>
        <w:rPr>
          <w:rFonts w:hint="default" w:ascii="Times New Roman" w:hAnsi="Times New Roman" w:eastAsia="仿宋_GB2312" w:cs="Times New Roman"/>
          <w:b w:val="0"/>
          <w:bCs w:val="0"/>
          <w:color w:val="auto"/>
          <w:kern w:val="2"/>
          <w:sz w:val="32"/>
          <w:szCs w:val="32"/>
          <w:highlight w:val="none"/>
          <w:u w:val="none"/>
          <w:lang w:val="en-US" w:eastAsia="zh-CN" w:bidi="ar-SA"/>
        </w:rPr>
      </w:pPr>
      <w:r>
        <w:rPr>
          <w:rFonts w:hint="default" w:ascii="Times New Roman" w:hAnsi="Times New Roman" w:eastAsia="仿宋_GB2312" w:cs="Times New Roman"/>
          <w:b w:val="0"/>
          <w:bCs w:val="0"/>
          <w:color w:val="auto"/>
          <w:kern w:val="2"/>
          <w:sz w:val="32"/>
          <w:szCs w:val="32"/>
          <w:highlight w:val="none"/>
          <w:u w:val="none"/>
          <w:lang w:val="en-US" w:eastAsia="zh-CN" w:bidi="ar-SA"/>
        </w:rPr>
        <w:t>（2）事故灾害应急预案</w:t>
      </w:r>
    </w:p>
    <w:p w14:paraId="3BC4C5EC">
      <w:pPr>
        <w:pageBreakBefore w:val="0"/>
        <w:kinsoku/>
        <w:wordWrap/>
        <w:topLinePunct w:val="0"/>
        <w:bidi w:val="0"/>
        <w:spacing w:beforeAutospacing="0" w:afterAutospacing="0" w:line="560" w:lineRule="exact"/>
        <w:ind w:left="0" w:leftChars="0"/>
        <w:rPr>
          <w:rFonts w:hint="default" w:ascii="Times New Roman" w:hAnsi="Times New Roman" w:eastAsia="仿宋_GB2312" w:cs="Times New Roman"/>
          <w:b w:val="0"/>
          <w:bCs w:val="0"/>
          <w:color w:val="auto"/>
          <w:kern w:val="2"/>
          <w:sz w:val="32"/>
          <w:szCs w:val="32"/>
          <w:highlight w:val="none"/>
          <w:u w:val="none"/>
          <w:lang w:val="en-US" w:eastAsia="zh-CN" w:bidi="ar-SA"/>
        </w:rPr>
      </w:pPr>
      <w:r>
        <w:rPr>
          <w:rFonts w:hint="default" w:ascii="Times New Roman" w:hAnsi="Times New Roman" w:eastAsia="仿宋_GB2312" w:cs="Times New Roman"/>
          <w:b w:val="0"/>
          <w:bCs w:val="0"/>
          <w:color w:val="auto"/>
          <w:kern w:val="2"/>
          <w:sz w:val="32"/>
          <w:szCs w:val="32"/>
          <w:highlight w:val="none"/>
          <w:u w:val="none"/>
          <w:lang w:val="en-US" w:eastAsia="zh-CN" w:bidi="ar-SA"/>
        </w:rPr>
        <w:t>交通事故污染应急预案</w:t>
      </w:r>
      <w:r>
        <w:rPr>
          <w:rFonts w:hint="eastAsia" w:eastAsia="仿宋_GB2312" w:cs="Times New Roman"/>
          <w:b w:val="0"/>
          <w:bCs w:val="0"/>
          <w:color w:val="auto"/>
          <w:kern w:val="2"/>
          <w:sz w:val="32"/>
          <w:szCs w:val="32"/>
          <w:highlight w:val="none"/>
          <w:u w:val="none"/>
          <w:lang w:val="en-US" w:eastAsia="zh-CN" w:bidi="ar-SA"/>
        </w:rPr>
        <w:t>：</w:t>
      </w:r>
      <w:r>
        <w:rPr>
          <w:rFonts w:hint="default" w:ascii="Times New Roman" w:hAnsi="Times New Roman" w:eastAsia="仿宋_GB2312" w:cs="Times New Roman"/>
          <w:b w:val="0"/>
          <w:bCs w:val="0"/>
          <w:color w:val="auto"/>
          <w:kern w:val="2"/>
          <w:sz w:val="32"/>
          <w:szCs w:val="32"/>
          <w:highlight w:val="none"/>
          <w:u w:val="none"/>
          <w:lang w:val="en-US" w:eastAsia="zh-CN" w:bidi="ar-SA"/>
        </w:rPr>
        <w:t>发生交通事故后（15分钟内），积极参与救援，第一时间报警、呼叫救护、协助保持现场、维护秩序等；迅速了解、判断事故已发生和可能发生的道路污染情况，采取措施进行处理或向上级报告，要求进入应急处理状态。清除污染时，要在道路前</w:t>
      </w:r>
      <w:r>
        <w:rPr>
          <w:rFonts w:hint="eastAsia" w:eastAsia="仿宋_GB2312" w:cs="Times New Roman"/>
          <w:b w:val="0"/>
          <w:bCs w:val="0"/>
          <w:color w:val="auto"/>
          <w:kern w:val="2"/>
          <w:sz w:val="32"/>
          <w:szCs w:val="32"/>
          <w:highlight w:val="none"/>
          <w:u w:val="none"/>
          <w:lang w:val="en-US" w:eastAsia="zh-CN" w:bidi="ar-SA"/>
        </w:rPr>
        <w:t>方</w:t>
      </w:r>
      <w:r>
        <w:rPr>
          <w:rFonts w:hint="default" w:ascii="Times New Roman" w:hAnsi="Times New Roman" w:eastAsia="仿宋_GB2312" w:cs="Times New Roman"/>
          <w:b w:val="0"/>
          <w:bCs w:val="0"/>
          <w:color w:val="auto"/>
          <w:kern w:val="2"/>
          <w:sz w:val="32"/>
          <w:szCs w:val="32"/>
          <w:highlight w:val="none"/>
          <w:u w:val="none"/>
          <w:lang w:val="en-US" w:eastAsia="zh-CN" w:bidi="ar-SA"/>
        </w:rPr>
        <w:t>100m处放置警示牌，提示过往车辆减速谨慎驾驶，</w:t>
      </w:r>
      <w:r>
        <w:rPr>
          <w:rFonts w:hint="eastAsia" w:eastAsia="仿宋_GB2312" w:cs="Times New Roman"/>
          <w:b w:val="0"/>
          <w:bCs w:val="0"/>
          <w:color w:val="auto"/>
          <w:kern w:val="2"/>
          <w:sz w:val="32"/>
          <w:szCs w:val="32"/>
          <w:highlight w:val="none"/>
          <w:u w:val="none"/>
          <w:lang w:val="en-US" w:eastAsia="zh-CN" w:bidi="ar-SA"/>
        </w:rPr>
        <w:t>作业人员</w:t>
      </w:r>
      <w:r>
        <w:rPr>
          <w:rFonts w:hint="default" w:ascii="Times New Roman" w:hAnsi="Times New Roman" w:eastAsia="仿宋_GB2312" w:cs="Times New Roman"/>
          <w:b w:val="0"/>
          <w:bCs w:val="0"/>
          <w:color w:val="auto"/>
          <w:kern w:val="2"/>
          <w:sz w:val="32"/>
          <w:szCs w:val="32"/>
          <w:highlight w:val="none"/>
          <w:u w:val="none"/>
          <w:lang w:val="en-US" w:eastAsia="zh-CN" w:bidi="ar-SA"/>
        </w:rPr>
        <w:t>穿戴反光服，并设置警示灯，迅速开展污染清除作业，恢复道路原貌后再撤离现场。</w:t>
      </w:r>
    </w:p>
    <w:p w14:paraId="2CFF4DAB">
      <w:pPr>
        <w:pageBreakBefore w:val="0"/>
        <w:kinsoku/>
        <w:wordWrap/>
        <w:topLinePunct w:val="0"/>
        <w:bidi w:val="0"/>
        <w:spacing w:beforeAutospacing="0" w:afterAutospacing="0" w:line="560" w:lineRule="exact"/>
        <w:ind w:left="0" w:leftChars="0"/>
        <w:rPr>
          <w:rFonts w:hint="default" w:ascii="Times New Roman" w:hAnsi="Times New Roman" w:eastAsia="仿宋_GB2312" w:cs="Times New Roman"/>
          <w:b w:val="0"/>
          <w:bCs w:val="0"/>
          <w:color w:val="auto"/>
          <w:kern w:val="2"/>
          <w:sz w:val="32"/>
          <w:szCs w:val="32"/>
          <w:highlight w:val="none"/>
          <w:u w:val="none"/>
          <w:lang w:val="en-US" w:eastAsia="zh-CN" w:bidi="ar-SA"/>
        </w:rPr>
      </w:pPr>
      <w:r>
        <w:rPr>
          <w:rFonts w:hint="default" w:ascii="Times New Roman" w:hAnsi="Times New Roman" w:eastAsia="仿宋_GB2312" w:cs="Times New Roman"/>
          <w:b w:val="0"/>
          <w:bCs w:val="0"/>
          <w:color w:val="auto"/>
          <w:kern w:val="2"/>
          <w:sz w:val="32"/>
          <w:szCs w:val="32"/>
          <w:highlight w:val="none"/>
          <w:u w:val="none"/>
          <w:lang w:val="en-US" w:eastAsia="zh-CN" w:bidi="ar-SA"/>
        </w:rPr>
        <w:t>环卫设施爆炸、坍塌等事故应急预案</w:t>
      </w:r>
      <w:r>
        <w:rPr>
          <w:rFonts w:hint="eastAsia" w:eastAsia="仿宋_GB2312" w:cs="Times New Roman"/>
          <w:b w:val="0"/>
          <w:bCs w:val="0"/>
          <w:color w:val="auto"/>
          <w:kern w:val="2"/>
          <w:sz w:val="32"/>
          <w:szCs w:val="32"/>
          <w:highlight w:val="none"/>
          <w:u w:val="none"/>
          <w:lang w:val="en-US" w:eastAsia="zh-CN" w:bidi="ar-SA"/>
        </w:rPr>
        <w:t>：</w:t>
      </w:r>
      <w:r>
        <w:rPr>
          <w:rFonts w:hint="default" w:ascii="Times New Roman" w:hAnsi="Times New Roman" w:eastAsia="仿宋_GB2312" w:cs="Times New Roman"/>
          <w:b w:val="0"/>
          <w:bCs w:val="0"/>
          <w:color w:val="auto"/>
          <w:kern w:val="2"/>
          <w:sz w:val="32"/>
          <w:szCs w:val="32"/>
          <w:highlight w:val="none"/>
          <w:u w:val="none"/>
          <w:lang w:val="en-US" w:eastAsia="zh-CN" w:bidi="ar-SA"/>
        </w:rPr>
        <w:t>开展建筑垃圾设施突发环境事件风险评估，完善突发环境事件风险防控措施，排查治理环境安全隐患，制定突发环境事件应急预案并备案、演练，加强环境应急能力保障建设。若遇建筑垃圾设施爆炸、坍塌等事故，积极组织伤员救治，控制事态加剧发展，查明事故发生原因，制定针对性控制措施，并加强人员抚恤和社会舆论引导等相关工作。</w:t>
      </w:r>
    </w:p>
    <w:p w14:paraId="3B6BA174">
      <w:pPr>
        <w:pageBreakBefore w:val="0"/>
        <w:kinsoku/>
        <w:wordWrap/>
        <w:topLinePunct w:val="0"/>
        <w:bidi w:val="0"/>
        <w:spacing w:beforeAutospacing="0" w:afterAutospacing="0" w:line="560" w:lineRule="exact"/>
        <w:ind w:left="0" w:leftChars="0"/>
        <w:rPr>
          <w:rFonts w:hint="default" w:ascii="Times New Roman" w:hAnsi="Times New Roman" w:eastAsia="仿宋_GB2312" w:cs="Times New Roman"/>
          <w:b w:val="0"/>
          <w:bCs w:val="0"/>
          <w:color w:val="auto"/>
          <w:kern w:val="2"/>
          <w:sz w:val="32"/>
          <w:szCs w:val="32"/>
          <w:highlight w:val="none"/>
          <w:u w:val="none"/>
          <w:lang w:val="en-US" w:eastAsia="zh-CN" w:bidi="ar-SA"/>
        </w:rPr>
      </w:pPr>
      <w:r>
        <w:rPr>
          <w:rFonts w:hint="default" w:ascii="Times New Roman" w:hAnsi="Times New Roman" w:eastAsia="仿宋_GB2312" w:cs="Times New Roman"/>
          <w:b w:val="0"/>
          <w:bCs w:val="0"/>
          <w:color w:val="auto"/>
          <w:kern w:val="2"/>
          <w:sz w:val="32"/>
          <w:szCs w:val="32"/>
          <w:highlight w:val="none"/>
          <w:u w:val="none"/>
          <w:lang w:val="en-US" w:eastAsia="zh-CN" w:bidi="ar-SA"/>
        </w:rPr>
        <w:t>易燃易爆物质引发突发事件应急预案</w:t>
      </w:r>
      <w:r>
        <w:rPr>
          <w:rFonts w:hint="eastAsia" w:eastAsia="仿宋_GB2312" w:cs="Times New Roman"/>
          <w:b w:val="0"/>
          <w:bCs w:val="0"/>
          <w:color w:val="auto"/>
          <w:kern w:val="2"/>
          <w:sz w:val="32"/>
          <w:szCs w:val="32"/>
          <w:highlight w:val="none"/>
          <w:u w:val="none"/>
          <w:lang w:val="en-US" w:eastAsia="zh-CN" w:bidi="ar-SA"/>
        </w:rPr>
        <w:t>：</w:t>
      </w:r>
      <w:r>
        <w:rPr>
          <w:rFonts w:hint="default" w:ascii="Times New Roman" w:hAnsi="Times New Roman" w:eastAsia="仿宋_GB2312" w:cs="Times New Roman"/>
          <w:b w:val="0"/>
          <w:bCs w:val="0"/>
          <w:color w:val="auto"/>
          <w:kern w:val="2"/>
          <w:sz w:val="32"/>
          <w:szCs w:val="32"/>
          <w:highlight w:val="none"/>
          <w:u w:val="none"/>
          <w:lang w:val="en-US" w:eastAsia="zh-CN" w:bidi="ar-SA"/>
        </w:rPr>
        <w:t>加强前端建筑垃圾分类，做好建筑垃圾</w:t>
      </w:r>
      <w:r>
        <w:rPr>
          <w:rFonts w:hint="eastAsia" w:eastAsia="仿宋_GB2312" w:cs="Times New Roman"/>
          <w:b w:val="0"/>
          <w:bCs w:val="0"/>
          <w:color w:val="auto"/>
          <w:kern w:val="2"/>
          <w:sz w:val="32"/>
          <w:szCs w:val="32"/>
          <w:highlight w:val="none"/>
          <w:u w:val="none"/>
          <w:lang w:val="en-US" w:eastAsia="zh-CN" w:bidi="ar-SA"/>
        </w:rPr>
        <w:t>收集</w:t>
      </w:r>
      <w:r>
        <w:rPr>
          <w:rFonts w:hint="default" w:ascii="Times New Roman" w:hAnsi="Times New Roman" w:eastAsia="仿宋_GB2312" w:cs="Times New Roman"/>
          <w:b w:val="0"/>
          <w:bCs w:val="0"/>
          <w:color w:val="auto"/>
          <w:kern w:val="2"/>
          <w:sz w:val="32"/>
          <w:szCs w:val="32"/>
          <w:highlight w:val="none"/>
          <w:u w:val="none"/>
          <w:lang w:val="en-US" w:eastAsia="zh-CN" w:bidi="ar-SA"/>
        </w:rPr>
        <w:t>、运输和处置全过程台账记录，从源头上避免易燃易爆物质进入建筑垃圾收运处理体系。火灾或爆炸事故发生后，迅速组织人员赶赴现场处理。若有人员伤亡，首先抢救伤员；积极采取有效措施控制火灾范围扩延或爆炸程度加剧；事态无法控制或进一步恶化或有连锁事故发生的苗头，应立即通知消防</w:t>
      </w:r>
      <w:r>
        <w:rPr>
          <w:rFonts w:hint="eastAsia" w:eastAsia="仿宋_GB2312" w:cs="Times New Roman"/>
          <w:b w:val="0"/>
          <w:bCs w:val="0"/>
          <w:color w:val="auto"/>
          <w:kern w:val="2"/>
          <w:sz w:val="32"/>
          <w:szCs w:val="32"/>
          <w:highlight w:val="none"/>
          <w:u w:val="none"/>
          <w:lang w:val="en-US" w:eastAsia="zh-CN" w:bidi="ar-SA"/>
        </w:rPr>
        <w:t>救援大</w:t>
      </w:r>
      <w:r>
        <w:rPr>
          <w:rFonts w:hint="default" w:ascii="Times New Roman" w:hAnsi="Times New Roman" w:eastAsia="仿宋_GB2312" w:cs="Times New Roman"/>
          <w:b w:val="0"/>
          <w:bCs w:val="0"/>
          <w:color w:val="auto"/>
          <w:kern w:val="2"/>
          <w:sz w:val="32"/>
          <w:szCs w:val="32"/>
          <w:highlight w:val="none"/>
          <w:u w:val="none"/>
          <w:lang w:val="en-US" w:eastAsia="zh-CN" w:bidi="ar-SA"/>
        </w:rPr>
        <w:t>队，并及时组织人员疏散；事故发生后，开展事故原因调查，针对实际情况制定纠正措施。</w:t>
      </w:r>
    </w:p>
    <w:p w14:paraId="2AFE14AF">
      <w:pPr>
        <w:pageBreakBefore w:val="0"/>
        <w:kinsoku/>
        <w:wordWrap/>
        <w:topLinePunct w:val="0"/>
        <w:bidi w:val="0"/>
        <w:spacing w:beforeAutospacing="0" w:afterAutospacing="0" w:line="560" w:lineRule="exact"/>
        <w:ind w:left="0" w:leftChars="0"/>
        <w:rPr>
          <w:rFonts w:hint="default" w:ascii="Times New Roman" w:hAnsi="Times New Roman" w:eastAsia="仿宋_GB2312" w:cs="Times New Roman"/>
          <w:b w:val="0"/>
          <w:bCs w:val="0"/>
          <w:color w:val="auto"/>
          <w:kern w:val="2"/>
          <w:sz w:val="32"/>
          <w:szCs w:val="32"/>
          <w:highlight w:val="none"/>
          <w:u w:val="none"/>
          <w:lang w:val="en-US" w:eastAsia="zh-CN" w:bidi="ar-SA"/>
        </w:rPr>
      </w:pPr>
      <w:r>
        <w:rPr>
          <w:rFonts w:hint="default" w:ascii="Times New Roman" w:hAnsi="Times New Roman" w:eastAsia="仿宋_GB2312" w:cs="Times New Roman"/>
          <w:b w:val="0"/>
          <w:bCs w:val="0"/>
          <w:color w:val="auto"/>
          <w:kern w:val="2"/>
          <w:sz w:val="32"/>
          <w:szCs w:val="32"/>
          <w:highlight w:val="none"/>
          <w:u w:val="none"/>
          <w:lang w:val="en-US" w:eastAsia="zh-CN" w:bidi="ar-SA"/>
        </w:rPr>
        <w:t>（3）公共卫生事件应急预案</w:t>
      </w:r>
    </w:p>
    <w:p w14:paraId="2AA2D3AF">
      <w:pPr>
        <w:pageBreakBefore w:val="0"/>
        <w:kinsoku/>
        <w:wordWrap/>
        <w:topLinePunct w:val="0"/>
        <w:bidi w:val="0"/>
        <w:spacing w:beforeAutospacing="0" w:afterAutospacing="0" w:line="560" w:lineRule="exact"/>
        <w:ind w:left="0" w:leftChars="0"/>
        <w:rPr>
          <w:rFonts w:hint="default" w:ascii="Times New Roman" w:hAnsi="Times New Roman" w:eastAsia="仿宋_GB2312" w:cs="Times New Roman"/>
          <w:b w:val="0"/>
          <w:bCs w:val="0"/>
          <w:color w:val="auto"/>
          <w:kern w:val="2"/>
          <w:sz w:val="32"/>
          <w:szCs w:val="32"/>
          <w:highlight w:val="none"/>
          <w:u w:val="none"/>
          <w:lang w:val="en-US" w:eastAsia="zh-CN" w:bidi="ar-SA"/>
        </w:rPr>
      </w:pPr>
      <w:r>
        <w:rPr>
          <w:rFonts w:hint="default" w:ascii="Times New Roman" w:hAnsi="Times New Roman" w:eastAsia="仿宋_GB2312" w:cs="Times New Roman"/>
          <w:b w:val="0"/>
          <w:bCs w:val="0"/>
          <w:color w:val="auto"/>
          <w:kern w:val="2"/>
          <w:sz w:val="32"/>
          <w:szCs w:val="32"/>
          <w:highlight w:val="none"/>
          <w:u w:val="none"/>
          <w:lang w:val="en-US" w:eastAsia="zh-CN" w:bidi="ar-SA"/>
        </w:rPr>
        <w:t>遇到突发疫情等公共卫生事件，在部署疫情防控工作的同时，严把建筑垃圾运输及处理各个环节，加强建筑垃圾设施防疫消毒工作，坚决切断建筑垃圾病毒面源传播途径。</w:t>
      </w:r>
    </w:p>
    <w:p w14:paraId="35BB0CFF">
      <w:pPr>
        <w:pageBreakBefore w:val="0"/>
        <w:kinsoku/>
        <w:wordWrap/>
        <w:topLinePunct w:val="0"/>
        <w:bidi w:val="0"/>
        <w:spacing w:beforeAutospacing="0" w:afterAutospacing="0" w:line="560" w:lineRule="exact"/>
        <w:ind w:left="0" w:leftChars="0"/>
        <w:rPr>
          <w:rFonts w:hint="eastAsia" w:ascii="黑体" w:hAnsi="黑体" w:eastAsia="黑体" w:cs="黑体"/>
          <w:b w:val="0"/>
          <w:bCs w:val="0"/>
          <w:color w:val="auto"/>
          <w:kern w:val="2"/>
          <w:sz w:val="32"/>
          <w:szCs w:val="32"/>
          <w:highlight w:val="none"/>
          <w:u w:val="none"/>
          <w:lang w:val="en-US" w:eastAsia="zh-CN" w:bidi="ar-SA"/>
        </w:rPr>
      </w:pPr>
    </w:p>
    <w:p w14:paraId="12F515B1">
      <w:pPr>
        <w:pageBreakBefore w:val="0"/>
        <w:kinsoku/>
        <w:wordWrap/>
        <w:topLinePunct w:val="0"/>
        <w:bidi w:val="0"/>
        <w:spacing w:beforeAutospacing="0" w:afterAutospacing="0" w:line="560" w:lineRule="exact"/>
        <w:ind w:left="0" w:leftChars="0"/>
        <w:rPr>
          <w:rFonts w:hint="eastAsia" w:ascii="黑体" w:hAnsi="黑体" w:eastAsia="黑体" w:cs="黑体"/>
          <w:b w:val="0"/>
          <w:bCs w:val="0"/>
          <w:color w:val="auto"/>
          <w:kern w:val="2"/>
          <w:sz w:val="32"/>
          <w:szCs w:val="32"/>
          <w:highlight w:val="none"/>
          <w:u w:val="none"/>
          <w:lang w:val="en-US" w:eastAsia="zh-CN" w:bidi="ar-SA"/>
        </w:rPr>
      </w:pPr>
    </w:p>
    <w:p w14:paraId="1B5C91A5">
      <w:pPr>
        <w:pageBreakBefore w:val="0"/>
        <w:kinsoku/>
        <w:wordWrap/>
        <w:topLinePunct w:val="0"/>
        <w:bidi w:val="0"/>
        <w:spacing w:beforeAutospacing="0" w:afterAutospacing="0" w:line="560" w:lineRule="exact"/>
        <w:ind w:left="0" w:leftChars="0"/>
        <w:rPr>
          <w:rFonts w:hint="eastAsia" w:ascii="黑体" w:hAnsi="黑体" w:eastAsia="黑体" w:cs="黑体"/>
          <w:b w:val="0"/>
          <w:bCs w:val="0"/>
          <w:color w:val="auto"/>
          <w:kern w:val="2"/>
          <w:sz w:val="32"/>
          <w:szCs w:val="32"/>
          <w:highlight w:val="none"/>
          <w:u w:val="none"/>
          <w:lang w:val="en-US" w:eastAsia="zh-CN" w:bidi="ar-SA"/>
        </w:rPr>
      </w:pPr>
    </w:p>
    <w:p w14:paraId="6D498ED1">
      <w:pPr>
        <w:pageBreakBefore w:val="0"/>
        <w:kinsoku/>
        <w:wordWrap/>
        <w:topLinePunct w:val="0"/>
        <w:bidi w:val="0"/>
        <w:spacing w:beforeAutospacing="0" w:afterAutospacing="0" w:line="560" w:lineRule="exact"/>
        <w:ind w:left="0" w:leftChars="0"/>
        <w:rPr>
          <w:rFonts w:hint="eastAsia" w:ascii="黑体" w:hAnsi="黑体" w:eastAsia="黑体" w:cs="黑体"/>
          <w:b w:val="0"/>
          <w:bCs w:val="0"/>
          <w:color w:val="auto"/>
          <w:kern w:val="2"/>
          <w:sz w:val="32"/>
          <w:szCs w:val="32"/>
          <w:highlight w:val="none"/>
          <w:u w:val="none"/>
          <w:lang w:val="en-US" w:eastAsia="zh-CN" w:bidi="ar-SA"/>
        </w:rPr>
      </w:pPr>
    </w:p>
    <w:p w14:paraId="777BB6BA">
      <w:pPr>
        <w:pageBreakBefore w:val="0"/>
        <w:kinsoku/>
        <w:wordWrap/>
        <w:topLinePunct w:val="0"/>
        <w:bidi w:val="0"/>
        <w:spacing w:beforeAutospacing="0" w:afterAutospacing="0" w:line="560" w:lineRule="exact"/>
        <w:ind w:left="0" w:leftChars="0"/>
        <w:rPr>
          <w:rFonts w:hint="eastAsia" w:ascii="黑体" w:hAnsi="黑体" w:eastAsia="黑体" w:cs="黑体"/>
          <w:b w:val="0"/>
          <w:bCs w:val="0"/>
          <w:color w:val="auto"/>
          <w:kern w:val="2"/>
          <w:sz w:val="32"/>
          <w:szCs w:val="32"/>
          <w:highlight w:val="none"/>
          <w:u w:val="none"/>
          <w:lang w:val="en-US" w:eastAsia="zh-CN" w:bidi="ar-SA"/>
        </w:rPr>
      </w:pPr>
    </w:p>
    <w:p w14:paraId="5C91C5EF">
      <w:pPr>
        <w:pageBreakBefore w:val="0"/>
        <w:kinsoku/>
        <w:wordWrap/>
        <w:topLinePunct w:val="0"/>
        <w:bidi w:val="0"/>
        <w:spacing w:beforeAutospacing="0" w:afterAutospacing="0" w:line="560" w:lineRule="exact"/>
        <w:ind w:left="0" w:leftChars="0"/>
        <w:rPr>
          <w:rFonts w:hint="eastAsia" w:ascii="黑体" w:hAnsi="黑体" w:eastAsia="黑体" w:cs="黑体"/>
          <w:b w:val="0"/>
          <w:bCs w:val="0"/>
          <w:color w:val="auto"/>
          <w:kern w:val="2"/>
          <w:sz w:val="32"/>
          <w:szCs w:val="32"/>
          <w:highlight w:val="none"/>
          <w:u w:val="none"/>
          <w:lang w:val="en-US" w:eastAsia="zh-CN" w:bidi="ar-SA"/>
        </w:rPr>
      </w:pPr>
    </w:p>
    <w:p w14:paraId="0893D69E">
      <w:pPr>
        <w:pageBreakBefore w:val="0"/>
        <w:kinsoku/>
        <w:wordWrap/>
        <w:topLinePunct w:val="0"/>
        <w:bidi w:val="0"/>
        <w:spacing w:beforeAutospacing="0" w:afterAutospacing="0" w:line="560" w:lineRule="exact"/>
        <w:ind w:left="0" w:leftChars="0"/>
        <w:rPr>
          <w:rFonts w:hint="eastAsia" w:ascii="黑体" w:hAnsi="黑体" w:eastAsia="黑体" w:cs="黑体"/>
          <w:b w:val="0"/>
          <w:bCs w:val="0"/>
          <w:color w:val="auto"/>
          <w:kern w:val="2"/>
          <w:sz w:val="32"/>
          <w:szCs w:val="32"/>
          <w:highlight w:val="none"/>
          <w:u w:val="none"/>
          <w:lang w:val="en-US" w:eastAsia="zh-CN" w:bidi="ar-SA"/>
        </w:rPr>
      </w:pPr>
    </w:p>
    <w:p w14:paraId="6D1F8678">
      <w:pPr>
        <w:pageBreakBefore w:val="0"/>
        <w:kinsoku/>
        <w:wordWrap/>
        <w:topLinePunct w:val="0"/>
        <w:bidi w:val="0"/>
        <w:spacing w:beforeAutospacing="0" w:afterAutospacing="0" w:line="560" w:lineRule="exact"/>
        <w:ind w:left="0" w:leftChars="0"/>
        <w:rPr>
          <w:rFonts w:hint="eastAsia" w:ascii="黑体" w:hAnsi="黑体" w:eastAsia="黑体" w:cs="黑体"/>
          <w:b w:val="0"/>
          <w:bCs w:val="0"/>
          <w:color w:val="auto"/>
          <w:kern w:val="2"/>
          <w:sz w:val="32"/>
          <w:szCs w:val="32"/>
          <w:highlight w:val="none"/>
          <w:u w:val="none"/>
          <w:lang w:val="en-US" w:eastAsia="zh-CN" w:bidi="ar-SA"/>
        </w:rPr>
      </w:pPr>
    </w:p>
    <w:p w14:paraId="27997D91">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leftChars="0"/>
        <w:textAlignment w:val="auto"/>
        <w:outlineLvl w:val="0"/>
        <w:rPr>
          <w:rFonts w:hint="eastAsia" w:ascii="Times New Roman" w:hAnsi="Times New Roman" w:eastAsia="仿宋_GB2312" w:cs="Times New Roman"/>
          <w:b w:val="0"/>
          <w:bCs w:val="0"/>
          <w:color w:val="auto"/>
          <w:kern w:val="2"/>
          <w:sz w:val="32"/>
          <w:szCs w:val="32"/>
          <w:highlight w:val="none"/>
          <w:u w:val="none"/>
          <w:lang w:val="en-US" w:eastAsia="zh-CN" w:bidi="ar-SA"/>
        </w:rPr>
      </w:pPr>
      <w:bookmarkStart w:id="122" w:name="_Toc542"/>
      <w:r>
        <w:rPr>
          <w:rFonts w:hint="eastAsia" w:ascii="黑体" w:hAnsi="黑体" w:eastAsia="黑体" w:cs="黑体"/>
          <w:b w:val="0"/>
          <w:bCs w:val="0"/>
          <w:color w:val="auto"/>
          <w:kern w:val="2"/>
          <w:sz w:val="32"/>
          <w:szCs w:val="32"/>
          <w:highlight w:val="none"/>
          <w:u w:val="none"/>
          <w:lang w:val="en-US" w:eastAsia="zh-CN" w:bidi="ar-SA"/>
        </w:rPr>
        <w:t>十一、环境影响评价</w:t>
      </w:r>
      <w:bookmarkEnd w:id="119"/>
      <w:bookmarkEnd w:id="120"/>
      <w:r>
        <w:rPr>
          <w:rFonts w:hint="eastAsia" w:ascii="黑体" w:hAnsi="黑体" w:eastAsia="黑体" w:cs="黑体"/>
          <w:b w:val="0"/>
          <w:bCs w:val="0"/>
          <w:color w:val="auto"/>
          <w:kern w:val="2"/>
          <w:sz w:val="32"/>
          <w:szCs w:val="32"/>
          <w:highlight w:val="none"/>
          <w:u w:val="none"/>
          <w:lang w:val="en-US" w:eastAsia="zh-CN" w:bidi="ar-SA"/>
        </w:rPr>
        <w:t>及安全防护</w:t>
      </w:r>
      <w:bookmarkEnd w:id="122"/>
    </w:p>
    <w:p w14:paraId="14607642">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leftChars="0"/>
        <w:textAlignment w:val="auto"/>
        <w:outlineLvl w:val="1"/>
        <w:rPr>
          <w:rFonts w:hint="eastAsia" w:ascii="Times New Roman" w:hAnsi="Times New Roman" w:eastAsia="仿宋_GB2312" w:cs="Times New Roman"/>
          <w:b w:val="0"/>
          <w:bCs w:val="0"/>
          <w:color w:val="auto"/>
          <w:kern w:val="2"/>
          <w:sz w:val="32"/>
          <w:szCs w:val="32"/>
          <w:highlight w:val="none"/>
          <w:u w:val="none"/>
          <w:lang w:val="en-US" w:eastAsia="zh-CN" w:bidi="ar-SA"/>
        </w:rPr>
      </w:pPr>
      <w:bookmarkStart w:id="123" w:name="_Toc90037912"/>
      <w:bookmarkStart w:id="124" w:name="_Toc7837"/>
      <w:bookmarkStart w:id="125" w:name="_Toc90038297"/>
      <w:bookmarkStart w:id="126" w:name="_Toc19034"/>
      <w:bookmarkStart w:id="127" w:name="_Toc90205911"/>
      <w:bookmarkStart w:id="128" w:name="_Toc4159"/>
      <w:r>
        <w:rPr>
          <w:rFonts w:hint="eastAsia" w:ascii="楷体_GB2312" w:hAnsi="楷体_GB2312" w:eastAsia="楷体_GB2312" w:cs="楷体_GB2312"/>
          <w:b w:val="0"/>
          <w:bCs w:val="0"/>
          <w:color w:val="auto"/>
          <w:kern w:val="2"/>
          <w:sz w:val="32"/>
          <w:szCs w:val="32"/>
          <w:highlight w:val="none"/>
          <w:u w:val="none"/>
          <w:lang w:val="en-US" w:eastAsia="zh-CN" w:bidi="ar-SA"/>
        </w:rPr>
        <w:t>（一）建筑垃圾收运过程中对环境的影响及防治措施</w:t>
      </w:r>
      <w:bookmarkEnd w:id="123"/>
      <w:bookmarkEnd w:id="124"/>
      <w:bookmarkEnd w:id="125"/>
      <w:bookmarkEnd w:id="126"/>
      <w:bookmarkEnd w:id="127"/>
      <w:bookmarkEnd w:id="128"/>
    </w:p>
    <w:p w14:paraId="42836F73">
      <w:pPr>
        <w:pageBreakBefore w:val="0"/>
        <w:kinsoku/>
        <w:wordWrap/>
        <w:topLinePunct w:val="0"/>
        <w:bidi w:val="0"/>
        <w:spacing w:beforeAutospacing="0" w:afterAutospacing="0" w:line="560" w:lineRule="exact"/>
        <w:ind w:left="0" w:leftChars="0"/>
        <w:rPr>
          <w:rFonts w:hint="eastAsia" w:ascii="Times New Roman" w:hAnsi="Times New Roman" w:eastAsia="仿宋_GB2312" w:cs="Times New Roman"/>
          <w:b w:val="0"/>
          <w:bCs w:val="0"/>
          <w:color w:val="auto"/>
          <w:kern w:val="2"/>
          <w:sz w:val="32"/>
          <w:szCs w:val="32"/>
          <w:highlight w:val="none"/>
          <w:u w:val="none"/>
          <w:lang w:val="zh-CN" w:eastAsia="zh-CN" w:bidi="ar-SA"/>
        </w:rPr>
      </w:pPr>
      <w:r>
        <w:rPr>
          <w:rFonts w:hint="eastAsia" w:ascii="Times New Roman" w:hAnsi="Times New Roman" w:eastAsia="仿宋_GB2312" w:cs="Times New Roman"/>
          <w:b w:val="0"/>
          <w:bCs w:val="0"/>
          <w:color w:val="auto"/>
          <w:kern w:val="2"/>
          <w:sz w:val="32"/>
          <w:szCs w:val="32"/>
          <w:highlight w:val="none"/>
          <w:u w:val="none"/>
          <w:lang w:val="zh-CN" w:eastAsia="zh-CN" w:bidi="ar-SA"/>
        </w:rPr>
        <w:t>建筑垃圾收运过程中对环境的影响主要来源于扬尘、设备噪声。应</w:t>
      </w:r>
      <w:r>
        <w:rPr>
          <w:rFonts w:hint="eastAsia" w:ascii="Times New Roman" w:hAnsi="Times New Roman" w:eastAsia="仿宋_GB2312" w:cs="Times New Roman"/>
          <w:b w:val="0"/>
          <w:bCs w:val="0"/>
          <w:color w:val="auto"/>
          <w:kern w:val="2"/>
          <w:sz w:val="32"/>
          <w:szCs w:val="32"/>
          <w:highlight w:val="none"/>
          <w:u w:val="none"/>
          <w:lang w:val="en-US" w:eastAsia="zh-CN" w:bidi="ar-SA"/>
        </w:rPr>
        <w:t>强化扬尘防治过程专人督导、重点工地实时监控、传输通道重点控尘等措施，全面做好施工工地扬尘管控责任落实，提高建筑施工标准化水平。应优先采用噪音较低的施工设备，对噪声超过国家标准的机械设备安装隔声、消声设施或采用密闭间进行隔声，同时注意维护保养机械，使机械设备维持其最低声级水平。做好接触高噪声工人的劳动保护，在高噪声机械设施作业时间，应采取防声耳罩等措施，减轻噪声的影响程度。夜间不开噪声大的机械，并尽量避免各种施工机械设备同时启动，最大限度减少声源迭加影响。</w:t>
      </w:r>
    </w:p>
    <w:p w14:paraId="1F59465B">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leftChars="0"/>
        <w:textAlignment w:val="auto"/>
        <w:outlineLvl w:val="1"/>
        <w:rPr>
          <w:rFonts w:hint="eastAsia" w:ascii="Times New Roman" w:hAnsi="Times New Roman" w:eastAsia="仿宋_GB2312" w:cs="Times New Roman"/>
          <w:b w:val="0"/>
          <w:bCs w:val="0"/>
          <w:color w:val="auto"/>
          <w:kern w:val="2"/>
          <w:sz w:val="32"/>
          <w:szCs w:val="32"/>
          <w:highlight w:val="none"/>
          <w:u w:val="none"/>
          <w:lang w:val="en-US" w:eastAsia="zh-CN" w:bidi="ar-SA"/>
        </w:rPr>
      </w:pPr>
      <w:bookmarkStart w:id="129" w:name="_Toc13419"/>
      <w:bookmarkStart w:id="130" w:name="_Toc90038298"/>
      <w:bookmarkStart w:id="131" w:name="_Toc27586"/>
      <w:bookmarkStart w:id="132" w:name="_Toc90205912"/>
      <w:bookmarkStart w:id="133" w:name="_Toc90037913"/>
      <w:bookmarkStart w:id="134" w:name="_Toc13571"/>
      <w:r>
        <w:rPr>
          <w:rFonts w:hint="eastAsia" w:ascii="楷体_GB2312" w:hAnsi="楷体_GB2312" w:eastAsia="楷体_GB2312" w:cs="楷体_GB2312"/>
          <w:b w:val="0"/>
          <w:bCs w:val="0"/>
          <w:color w:val="auto"/>
          <w:kern w:val="2"/>
          <w:sz w:val="32"/>
          <w:szCs w:val="32"/>
          <w:highlight w:val="none"/>
          <w:u w:val="none"/>
          <w:lang w:val="en-US" w:eastAsia="zh-CN" w:bidi="ar-SA"/>
        </w:rPr>
        <w:t>（二）建筑垃圾处理过程对环境的影响及防治措施</w:t>
      </w:r>
      <w:bookmarkEnd w:id="129"/>
      <w:bookmarkEnd w:id="130"/>
      <w:bookmarkEnd w:id="131"/>
      <w:bookmarkEnd w:id="132"/>
      <w:bookmarkEnd w:id="133"/>
      <w:bookmarkEnd w:id="134"/>
    </w:p>
    <w:p w14:paraId="6623E613">
      <w:pPr>
        <w:pageBreakBefore w:val="0"/>
        <w:kinsoku/>
        <w:wordWrap/>
        <w:topLinePunct w:val="0"/>
        <w:bidi w:val="0"/>
        <w:spacing w:beforeAutospacing="0" w:afterAutospacing="0" w:line="560" w:lineRule="exact"/>
        <w:ind w:left="0" w:leftChars="0"/>
        <w:rPr>
          <w:rFonts w:hint="eastAsia" w:ascii="Times New Roman" w:hAnsi="Times New Roman" w:eastAsia="仿宋_GB2312" w:cs="Times New Roman"/>
          <w:b w:val="0"/>
          <w:bCs w:val="0"/>
          <w:color w:val="auto"/>
          <w:kern w:val="2"/>
          <w:sz w:val="32"/>
          <w:szCs w:val="32"/>
          <w:highlight w:val="none"/>
          <w:u w:val="none"/>
          <w:lang w:val="zh-CN" w:eastAsia="zh-CN" w:bidi="ar-SA"/>
        </w:rPr>
      </w:pPr>
      <w:r>
        <w:rPr>
          <w:rFonts w:hint="eastAsia" w:ascii="Times New Roman" w:hAnsi="Times New Roman" w:eastAsia="仿宋_GB2312" w:cs="Times New Roman"/>
          <w:b w:val="0"/>
          <w:bCs w:val="0"/>
          <w:color w:val="auto"/>
          <w:kern w:val="2"/>
          <w:sz w:val="32"/>
          <w:szCs w:val="32"/>
          <w:highlight w:val="none"/>
          <w:u w:val="none"/>
          <w:lang w:val="zh-CN" w:eastAsia="zh-CN" w:bidi="ar-SA"/>
        </w:rPr>
        <w:t>建筑垃圾处理过程对环境的影响主要来源于垃圾处理设施运营中产生的噪声、废水、扬尘等。</w:t>
      </w:r>
    </w:p>
    <w:p w14:paraId="544BF957">
      <w:pPr>
        <w:pageBreakBefore w:val="0"/>
        <w:kinsoku/>
        <w:wordWrap/>
        <w:topLinePunct w:val="0"/>
        <w:bidi w:val="0"/>
        <w:spacing w:beforeAutospacing="0" w:afterAutospacing="0" w:line="560" w:lineRule="exact"/>
        <w:ind w:left="0" w:leftChars="0"/>
        <w:rPr>
          <w:rFonts w:hint="eastAsia" w:ascii="Times New Roman" w:hAnsi="Times New Roman" w:eastAsia="仿宋_GB2312" w:cs="Times New Roman"/>
          <w:b w:val="0"/>
          <w:bCs w:val="0"/>
          <w:color w:val="auto"/>
          <w:kern w:val="2"/>
          <w:sz w:val="32"/>
          <w:szCs w:val="32"/>
          <w:highlight w:val="none"/>
          <w:u w:val="none"/>
          <w:lang w:val="zh-CN" w:eastAsia="zh-CN" w:bidi="ar-SA"/>
        </w:rPr>
      </w:pPr>
      <w:r>
        <w:rPr>
          <w:rFonts w:hint="eastAsia" w:ascii="Times New Roman" w:hAnsi="Times New Roman" w:eastAsia="仿宋_GB2312" w:cs="Times New Roman"/>
          <w:b w:val="0"/>
          <w:bCs w:val="0"/>
          <w:color w:val="auto"/>
          <w:kern w:val="2"/>
          <w:sz w:val="32"/>
          <w:szCs w:val="32"/>
          <w:highlight w:val="none"/>
          <w:u w:val="none"/>
          <w:lang w:val="zh-CN" w:eastAsia="zh-CN" w:bidi="ar-SA"/>
        </w:rPr>
        <w:t>处理设备选型时应尽量选用噪声低的设备，对于高噪声设备采取必要的消音、隔音和减振降噪措施，以降低对周围环境的影响。生产区、管理区采取种植花卉、草皮、常见灌木林带等措施，场区四周种植果树、植物林带等措施。项目对周围</w:t>
      </w:r>
      <w:r>
        <w:rPr>
          <w:rFonts w:hint="eastAsia" w:eastAsia="仿宋_GB2312" w:cs="Times New Roman"/>
          <w:b w:val="0"/>
          <w:bCs w:val="0"/>
          <w:color w:val="auto"/>
          <w:kern w:val="2"/>
          <w:sz w:val="32"/>
          <w:szCs w:val="32"/>
          <w:highlight w:val="none"/>
          <w:u w:val="none"/>
          <w:lang w:val="en-US" w:eastAsia="zh-CN" w:bidi="ar-SA"/>
        </w:rPr>
        <w:t>声</w:t>
      </w:r>
      <w:r>
        <w:rPr>
          <w:rFonts w:hint="eastAsia" w:ascii="Times New Roman" w:hAnsi="Times New Roman" w:eastAsia="仿宋_GB2312" w:cs="Times New Roman"/>
          <w:b w:val="0"/>
          <w:bCs w:val="0"/>
          <w:color w:val="auto"/>
          <w:kern w:val="2"/>
          <w:sz w:val="32"/>
          <w:szCs w:val="32"/>
          <w:highlight w:val="none"/>
          <w:u w:val="none"/>
          <w:lang w:val="zh-CN" w:eastAsia="zh-CN" w:bidi="ar-SA"/>
        </w:rPr>
        <w:t>环境影响满足《工业企业厂界噪声标准》要求。</w:t>
      </w:r>
    </w:p>
    <w:p w14:paraId="58EEEA3B">
      <w:pPr>
        <w:pageBreakBefore w:val="0"/>
        <w:kinsoku/>
        <w:wordWrap/>
        <w:topLinePunct w:val="0"/>
        <w:bidi w:val="0"/>
        <w:spacing w:beforeAutospacing="0" w:afterAutospacing="0" w:line="560" w:lineRule="exact"/>
        <w:ind w:left="0" w:leftChars="0"/>
        <w:rPr>
          <w:rFonts w:hint="default" w:ascii="Times New Roman" w:hAnsi="Times New Roman" w:eastAsia="仿宋_GB2312" w:cs="Times New Roman"/>
          <w:b w:val="0"/>
          <w:bCs w:val="0"/>
          <w:color w:val="auto"/>
          <w:kern w:val="2"/>
          <w:sz w:val="32"/>
          <w:szCs w:val="32"/>
          <w:highlight w:val="none"/>
          <w:u w:val="none"/>
          <w:lang w:val="en-US" w:eastAsia="zh-CN" w:bidi="ar-SA"/>
        </w:rPr>
      </w:pPr>
      <w:r>
        <w:rPr>
          <w:rFonts w:hint="default" w:ascii="Times New Roman" w:hAnsi="Times New Roman" w:eastAsia="仿宋_GB2312" w:cs="Times New Roman"/>
          <w:b w:val="0"/>
          <w:bCs w:val="0"/>
          <w:color w:val="auto"/>
          <w:kern w:val="2"/>
          <w:sz w:val="32"/>
          <w:szCs w:val="32"/>
          <w:highlight w:val="none"/>
          <w:u w:val="none"/>
          <w:lang w:val="en-US" w:eastAsia="zh-CN" w:bidi="ar-SA"/>
        </w:rPr>
        <w:t>建筑垃圾处理处置设施应采取防尘措施，有条件的企业宜采用湿法工艺防尘，车间内应配置集中除尘设施。在建筑垃圾处理处置设施主要出入口设置洗车台，外出车辆宜冲洗干净后驶入市政道路。</w:t>
      </w:r>
    </w:p>
    <w:p w14:paraId="041418FD">
      <w:pPr>
        <w:pageBreakBefore w:val="0"/>
        <w:kinsoku/>
        <w:wordWrap/>
        <w:topLinePunct w:val="0"/>
        <w:bidi w:val="0"/>
        <w:spacing w:beforeAutospacing="0" w:afterAutospacing="0" w:line="560" w:lineRule="exact"/>
        <w:ind w:left="0" w:leftChars="0"/>
        <w:rPr>
          <w:rFonts w:hint="default" w:ascii="Times New Roman" w:hAnsi="Times New Roman" w:eastAsia="仿宋_GB2312" w:cs="Times New Roman"/>
          <w:b w:val="0"/>
          <w:bCs w:val="0"/>
          <w:color w:val="auto"/>
          <w:kern w:val="2"/>
          <w:sz w:val="32"/>
          <w:szCs w:val="32"/>
          <w:highlight w:val="none"/>
          <w:u w:val="none"/>
          <w:lang w:val="en-US" w:eastAsia="zh-CN" w:bidi="ar-SA"/>
        </w:rPr>
      </w:pPr>
      <w:r>
        <w:rPr>
          <w:rFonts w:hint="eastAsia" w:ascii="Times New Roman" w:hAnsi="Times New Roman" w:eastAsia="仿宋_GB2312" w:cs="Times New Roman"/>
          <w:b w:val="0"/>
          <w:bCs w:val="0"/>
          <w:color w:val="auto"/>
          <w:kern w:val="2"/>
          <w:sz w:val="32"/>
          <w:szCs w:val="32"/>
          <w:highlight w:val="none"/>
          <w:u w:val="none"/>
          <w:lang w:val="en-US" w:eastAsia="zh-CN" w:bidi="ar-SA"/>
        </w:rPr>
        <w:t>建筑垃圾贮存及处理过程应设置</w:t>
      </w:r>
      <w:r>
        <w:rPr>
          <w:rFonts w:hint="default" w:ascii="Times New Roman" w:hAnsi="Times New Roman" w:eastAsia="仿宋_GB2312" w:cs="Times New Roman"/>
          <w:b w:val="0"/>
          <w:bCs w:val="0"/>
          <w:color w:val="auto"/>
          <w:kern w:val="2"/>
          <w:sz w:val="32"/>
          <w:szCs w:val="32"/>
          <w:highlight w:val="none"/>
          <w:u w:val="none"/>
          <w:lang w:val="en-US" w:eastAsia="zh-CN" w:bidi="ar-SA"/>
        </w:rPr>
        <w:t>雨污分流设施</w:t>
      </w:r>
      <w:r>
        <w:rPr>
          <w:rFonts w:hint="eastAsia" w:ascii="Times New Roman" w:hAnsi="Times New Roman" w:eastAsia="仿宋_GB2312" w:cs="Times New Roman"/>
          <w:b w:val="0"/>
          <w:bCs w:val="0"/>
          <w:color w:val="auto"/>
          <w:kern w:val="2"/>
          <w:sz w:val="32"/>
          <w:szCs w:val="32"/>
          <w:highlight w:val="none"/>
          <w:u w:val="none"/>
          <w:lang w:val="en-US" w:eastAsia="zh-CN" w:bidi="ar-SA"/>
        </w:rPr>
        <w:t>，</w:t>
      </w:r>
      <w:r>
        <w:rPr>
          <w:rFonts w:hint="default" w:ascii="Times New Roman" w:hAnsi="Times New Roman" w:eastAsia="仿宋_GB2312" w:cs="Times New Roman"/>
          <w:b w:val="0"/>
          <w:bCs w:val="0"/>
          <w:color w:val="auto"/>
          <w:kern w:val="2"/>
          <w:sz w:val="32"/>
          <w:szCs w:val="32"/>
          <w:highlight w:val="none"/>
          <w:u w:val="none"/>
          <w:lang w:val="en-US" w:eastAsia="zh-CN" w:bidi="ar-SA"/>
        </w:rPr>
        <w:t>严格控制垃圾渗滤液的产生量，保证垃圾渗滤液的排放不致使受纳水体的使用功能遭受影响。同时应对建筑垃圾消纳区进行水、气、土壤及噪声的本底监测和作业监测。</w:t>
      </w:r>
    </w:p>
    <w:p w14:paraId="34366F38">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leftChars="0"/>
        <w:textAlignment w:val="auto"/>
        <w:outlineLvl w:val="1"/>
        <w:rPr>
          <w:rFonts w:hint="default" w:ascii="Times New Roman" w:hAnsi="Times New Roman" w:eastAsia="仿宋_GB2312" w:cs="Times New Roman"/>
          <w:b w:val="0"/>
          <w:bCs w:val="0"/>
          <w:color w:val="auto"/>
          <w:spacing w:val="-6"/>
          <w:kern w:val="2"/>
          <w:sz w:val="32"/>
          <w:szCs w:val="32"/>
          <w:highlight w:val="none"/>
          <w:u w:val="none"/>
          <w:lang w:val="en-US" w:eastAsia="zh-CN" w:bidi="ar-SA"/>
        </w:rPr>
      </w:pPr>
      <w:bookmarkStart w:id="135" w:name="_Toc3042"/>
      <w:r>
        <w:rPr>
          <w:rFonts w:hint="eastAsia" w:ascii="楷体_GB2312" w:hAnsi="楷体_GB2312" w:eastAsia="楷体_GB2312" w:cs="楷体_GB2312"/>
          <w:b w:val="0"/>
          <w:bCs w:val="0"/>
          <w:color w:val="auto"/>
          <w:kern w:val="2"/>
          <w:sz w:val="32"/>
          <w:szCs w:val="32"/>
          <w:highlight w:val="none"/>
          <w:u w:val="none"/>
          <w:lang w:val="en-US" w:eastAsia="zh-CN" w:bidi="ar-SA"/>
        </w:rPr>
        <w:t>（三）</w:t>
      </w:r>
      <w:r>
        <w:rPr>
          <w:rFonts w:hint="eastAsia" w:ascii="楷体_GB2312" w:hAnsi="楷体_GB2312" w:eastAsia="楷体_GB2312" w:cs="楷体_GB2312"/>
          <w:b w:val="0"/>
          <w:bCs w:val="0"/>
          <w:color w:val="auto"/>
          <w:spacing w:val="-6"/>
          <w:kern w:val="2"/>
          <w:sz w:val="32"/>
          <w:szCs w:val="32"/>
          <w:highlight w:val="none"/>
          <w:u w:val="none"/>
          <w:lang w:val="en-US" w:eastAsia="zh-CN" w:bidi="ar-SA"/>
        </w:rPr>
        <w:t>建筑垃圾处理设施建设过程对环境的影响及防治措施</w:t>
      </w:r>
      <w:bookmarkEnd w:id="135"/>
    </w:p>
    <w:p w14:paraId="6F1D0E8F">
      <w:pPr>
        <w:pageBreakBefore w:val="0"/>
        <w:kinsoku/>
        <w:wordWrap/>
        <w:topLinePunct w:val="0"/>
        <w:bidi w:val="0"/>
        <w:spacing w:beforeAutospacing="0" w:afterAutospacing="0" w:line="560" w:lineRule="exact"/>
        <w:ind w:left="0" w:leftChars="0"/>
        <w:rPr>
          <w:rFonts w:hint="eastAsia" w:ascii="Times New Roman" w:hAnsi="Times New Roman" w:eastAsia="仿宋_GB2312" w:cs="Times New Roman"/>
          <w:b w:val="0"/>
          <w:bCs w:val="0"/>
          <w:color w:val="auto"/>
          <w:kern w:val="2"/>
          <w:sz w:val="32"/>
          <w:szCs w:val="32"/>
          <w:highlight w:val="none"/>
          <w:u w:val="none"/>
          <w:lang w:val="en-US" w:eastAsia="zh-CN" w:bidi="ar-SA"/>
        </w:rPr>
      </w:pPr>
      <w:r>
        <w:rPr>
          <w:rFonts w:hint="eastAsia" w:ascii="Times New Roman" w:hAnsi="Times New Roman" w:eastAsia="仿宋_GB2312" w:cs="Times New Roman"/>
          <w:b w:val="0"/>
          <w:bCs w:val="0"/>
          <w:color w:val="auto"/>
          <w:kern w:val="2"/>
          <w:sz w:val="32"/>
          <w:szCs w:val="32"/>
          <w:highlight w:val="none"/>
          <w:u w:val="none"/>
          <w:lang w:val="zh-CN" w:eastAsia="zh-CN" w:bidi="ar-SA"/>
        </w:rPr>
        <w:t>建筑垃圾处理</w:t>
      </w:r>
      <w:r>
        <w:rPr>
          <w:rFonts w:hint="eastAsia" w:ascii="Times New Roman" w:hAnsi="Times New Roman" w:eastAsia="仿宋_GB2312" w:cs="Times New Roman"/>
          <w:b w:val="0"/>
          <w:bCs w:val="0"/>
          <w:color w:val="auto"/>
          <w:kern w:val="2"/>
          <w:sz w:val="32"/>
          <w:szCs w:val="32"/>
          <w:highlight w:val="none"/>
          <w:u w:val="none"/>
          <w:lang w:val="en-US" w:eastAsia="zh-CN" w:bidi="ar-SA"/>
        </w:rPr>
        <w:t>设施建设过程</w:t>
      </w:r>
      <w:r>
        <w:rPr>
          <w:rFonts w:hint="eastAsia" w:ascii="Times New Roman" w:hAnsi="Times New Roman" w:eastAsia="仿宋_GB2312" w:cs="Times New Roman"/>
          <w:b w:val="0"/>
          <w:bCs w:val="0"/>
          <w:color w:val="auto"/>
          <w:kern w:val="2"/>
          <w:sz w:val="32"/>
          <w:szCs w:val="32"/>
          <w:highlight w:val="none"/>
          <w:u w:val="none"/>
          <w:lang w:val="zh-CN" w:eastAsia="zh-CN" w:bidi="ar-SA"/>
        </w:rPr>
        <w:t>对环境的影响主要</w:t>
      </w:r>
      <w:r>
        <w:rPr>
          <w:rFonts w:hint="eastAsia" w:ascii="Times New Roman" w:hAnsi="Times New Roman" w:eastAsia="仿宋_GB2312" w:cs="Times New Roman"/>
          <w:b w:val="0"/>
          <w:bCs w:val="0"/>
          <w:color w:val="auto"/>
          <w:kern w:val="2"/>
          <w:sz w:val="32"/>
          <w:szCs w:val="32"/>
          <w:highlight w:val="none"/>
          <w:u w:val="none"/>
          <w:lang w:val="en-US" w:eastAsia="zh-CN" w:bidi="ar-SA"/>
        </w:rPr>
        <w:t>是容易造成周围环境的水土流失。</w:t>
      </w:r>
    </w:p>
    <w:p w14:paraId="42C9B346">
      <w:pPr>
        <w:pageBreakBefore w:val="0"/>
        <w:kinsoku/>
        <w:wordWrap/>
        <w:topLinePunct w:val="0"/>
        <w:bidi w:val="0"/>
        <w:spacing w:beforeAutospacing="0" w:afterAutospacing="0" w:line="560" w:lineRule="exact"/>
        <w:ind w:left="0" w:leftChars="0"/>
        <w:rPr>
          <w:rFonts w:hint="default" w:ascii="Times New Roman" w:hAnsi="Times New Roman" w:eastAsia="仿宋_GB2312" w:cs="Times New Roman"/>
          <w:b w:val="0"/>
          <w:bCs w:val="0"/>
          <w:color w:val="auto"/>
          <w:kern w:val="2"/>
          <w:sz w:val="32"/>
          <w:szCs w:val="32"/>
          <w:highlight w:val="none"/>
          <w:u w:val="none"/>
          <w:lang w:val="en-US" w:eastAsia="zh-CN" w:bidi="ar-SA"/>
        </w:rPr>
      </w:pPr>
      <w:r>
        <w:rPr>
          <w:rFonts w:hint="eastAsia" w:ascii="Times New Roman" w:hAnsi="Times New Roman" w:eastAsia="仿宋_GB2312" w:cs="Times New Roman"/>
          <w:b w:val="0"/>
          <w:bCs w:val="0"/>
          <w:color w:val="auto"/>
          <w:kern w:val="2"/>
          <w:sz w:val="32"/>
          <w:szCs w:val="32"/>
          <w:highlight w:val="none"/>
          <w:u w:val="none"/>
          <w:lang w:val="zh-CN" w:eastAsia="zh-CN" w:bidi="ar-SA"/>
        </w:rPr>
        <w:t>坚持预防为主，科学规划，合理布局，采取有效的预防措施，最大限度地减少水土流失。同时，对已造成的水土流失，采取积极的治理措施，恢复生态环境。</w:t>
      </w:r>
      <w:r>
        <w:rPr>
          <w:rFonts w:hint="eastAsia" w:ascii="Times New Roman" w:hAnsi="Times New Roman" w:eastAsia="仿宋_GB2312" w:cs="Times New Roman"/>
          <w:b w:val="0"/>
          <w:bCs w:val="0"/>
          <w:color w:val="auto"/>
          <w:kern w:val="2"/>
          <w:sz w:val="32"/>
          <w:szCs w:val="32"/>
          <w:highlight w:val="none"/>
          <w:u w:val="none"/>
          <w:lang w:val="en-US" w:eastAsia="zh-CN" w:bidi="ar-SA"/>
        </w:rPr>
        <w:t>应</w:t>
      </w:r>
      <w:r>
        <w:rPr>
          <w:rFonts w:hint="eastAsia" w:ascii="Times New Roman" w:hAnsi="Times New Roman" w:eastAsia="仿宋_GB2312" w:cs="Times New Roman"/>
          <w:b w:val="0"/>
          <w:bCs w:val="0"/>
          <w:color w:val="auto"/>
          <w:kern w:val="2"/>
          <w:sz w:val="32"/>
          <w:szCs w:val="32"/>
          <w:highlight w:val="none"/>
          <w:u w:val="none"/>
          <w:lang w:val="zh-CN" w:eastAsia="zh-CN" w:bidi="ar-SA"/>
        </w:rPr>
        <w:t>在场区周边设置围挡，防止建筑垃圾外溢和雨水冲刷，围挡可采用砖砌围墙、彩钢板围挡等，并设置排水孔。对场区内外的边坡进行防护，防止雨水冲刷造成滑坡、崩塌等，边坡防护可采用植草护坡、砌石护坡、挡土墙等措施。施工前，应将表层土壤剥离并集中堆放，用于后期绿化覆土，表土堆放场应选择地势平坦、排水良好的地方，并采取覆盖、拦挡等措施，防止水土流失。对施工过程中造成的裸露地表，及时进行生态修复，恢复植被，生态修复可采用播种草籽、铺设草皮、种植苗木等措施。建立水土流失监测体系，定期对场区及周边地区的水土流失情况进行监测，及时发现和处理问题。制定应急预案，做好应对突发性水土流失事件的准备工作。</w:t>
      </w:r>
    </w:p>
    <w:p w14:paraId="7AACAA45">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leftChars="0"/>
        <w:textAlignment w:val="auto"/>
        <w:outlineLvl w:val="1"/>
        <w:rPr>
          <w:rFonts w:hint="eastAsia" w:ascii="Times New Roman" w:hAnsi="Times New Roman" w:eastAsia="仿宋_GB2312" w:cs="Times New Roman"/>
          <w:b w:val="0"/>
          <w:bCs w:val="0"/>
          <w:color w:val="auto"/>
          <w:kern w:val="2"/>
          <w:sz w:val="32"/>
          <w:szCs w:val="32"/>
          <w:highlight w:val="none"/>
          <w:u w:val="none"/>
          <w:lang w:val="en-US" w:eastAsia="zh-CN" w:bidi="ar-SA"/>
        </w:rPr>
      </w:pPr>
      <w:bookmarkStart w:id="136" w:name="_Toc90037914"/>
      <w:bookmarkStart w:id="137" w:name="_Toc90038299"/>
      <w:bookmarkStart w:id="138" w:name="_Toc1639"/>
      <w:bookmarkStart w:id="139" w:name="_Toc90205913"/>
      <w:bookmarkStart w:id="140" w:name="_Toc18929"/>
      <w:bookmarkStart w:id="141" w:name="_Toc14434"/>
      <w:r>
        <w:rPr>
          <w:rFonts w:hint="eastAsia" w:ascii="楷体_GB2312" w:hAnsi="楷体_GB2312" w:eastAsia="楷体_GB2312" w:cs="楷体_GB2312"/>
          <w:b w:val="0"/>
          <w:bCs w:val="0"/>
          <w:color w:val="auto"/>
          <w:kern w:val="2"/>
          <w:sz w:val="32"/>
          <w:szCs w:val="32"/>
          <w:highlight w:val="none"/>
          <w:u w:val="none"/>
          <w:lang w:val="en-US" w:eastAsia="zh-CN" w:bidi="ar-SA"/>
        </w:rPr>
        <w:t>（四）环境影响评价结论</w:t>
      </w:r>
      <w:bookmarkEnd w:id="136"/>
      <w:bookmarkEnd w:id="137"/>
      <w:bookmarkEnd w:id="138"/>
      <w:bookmarkEnd w:id="139"/>
      <w:bookmarkEnd w:id="140"/>
      <w:bookmarkEnd w:id="141"/>
    </w:p>
    <w:p w14:paraId="7103799A">
      <w:pPr>
        <w:pageBreakBefore w:val="0"/>
        <w:kinsoku/>
        <w:wordWrap/>
        <w:topLinePunct w:val="0"/>
        <w:bidi w:val="0"/>
        <w:spacing w:beforeAutospacing="0" w:afterAutospacing="0" w:line="560" w:lineRule="exact"/>
        <w:ind w:left="0" w:leftChars="0"/>
        <w:rPr>
          <w:rFonts w:hint="eastAsia" w:ascii="Times New Roman" w:hAnsi="Times New Roman" w:eastAsia="仿宋_GB2312" w:cs="Times New Roman"/>
          <w:b w:val="0"/>
          <w:bCs w:val="0"/>
          <w:color w:val="auto"/>
          <w:kern w:val="2"/>
          <w:sz w:val="32"/>
          <w:szCs w:val="32"/>
          <w:highlight w:val="none"/>
          <w:u w:val="none"/>
          <w:lang w:val="en-US" w:eastAsia="zh-CN" w:bidi="ar-SA"/>
        </w:rPr>
      </w:pPr>
      <w:r>
        <w:rPr>
          <w:rFonts w:hint="default" w:ascii="Times New Roman" w:hAnsi="Times New Roman" w:eastAsia="仿宋_GB2312" w:cs="Times New Roman"/>
          <w:b w:val="0"/>
          <w:bCs w:val="0"/>
          <w:color w:val="auto"/>
          <w:kern w:val="2"/>
          <w:sz w:val="32"/>
          <w:szCs w:val="32"/>
          <w:highlight w:val="none"/>
          <w:u w:val="none"/>
          <w:lang w:val="en-US" w:eastAsia="zh-CN" w:bidi="ar-SA"/>
        </w:rPr>
        <w:t>1</w:t>
      </w:r>
      <w:r>
        <w:rPr>
          <w:rFonts w:hint="eastAsia" w:eastAsia="仿宋_GB2312" w:cs="Times New Roman"/>
          <w:b w:val="0"/>
          <w:bCs w:val="0"/>
          <w:color w:val="auto"/>
          <w:kern w:val="2"/>
          <w:sz w:val="32"/>
          <w:szCs w:val="32"/>
          <w:highlight w:val="none"/>
          <w:u w:val="none"/>
          <w:lang w:val="en-US" w:eastAsia="zh-CN" w:bidi="ar-SA"/>
        </w:rPr>
        <w:t>．</w:t>
      </w:r>
      <w:r>
        <w:rPr>
          <w:rFonts w:hint="eastAsia" w:ascii="Times New Roman" w:hAnsi="Times New Roman" w:eastAsia="仿宋_GB2312" w:cs="Times New Roman"/>
          <w:b w:val="0"/>
          <w:bCs w:val="0"/>
          <w:color w:val="auto"/>
          <w:kern w:val="2"/>
          <w:sz w:val="32"/>
          <w:szCs w:val="32"/>
          <w:highlight w:val="none"/>
          <w:u w:val="none"/>
          <w:lang w:val="en-US" w:eastAsia="zh-CN" w:bidi="ar-SA"/>
        </w:rPr>
        <w:t>空气质量影响评价</w:t>
      </w:r>
    </w:p>
    <w:p w14:paraId="3ABFB645">
      <w:pPr>
        <w:pageBreakBefore w:val="0"/>
        <w:kinsoku/>
        <w:wordWrap/>
        <w:topLinePunct w:val="0"/>
        <w:bidi w:val="0"/>
        <w:spacing w:beforeAutospacing="0" w:afterAutospacing="0" w:line="560" w:lineRule="exact"/>
        <w:ind w:left="0" w:leftChars="0"/>
        <w:rPr>
          <w:rFonts w:hint="eastAsia" w:ascii="Times New Roman" w:hAnsi="Times New Roman" w:eastAsia="仿宋_GB2312" w:cs="Times New Roman"/>
          <w:b w:val="0"/>
          <w:bCs w:val="0"/>
          <w:color w:val="auto"/>
          <w:kern w:val="2"/>
          <w:sz w:val="32"/>
          <w:szCs w:val="32"/>
          <w:highlight w:val="none"/>
          <w:u w:val="none"/>
          <w:lang w:val="zh-CN" w:eastAsia="zh-CN" w:bidi="ar-SA"/>
        </w:rPr>
      </w:pPr>
      <w:r>
        <w:rPr>
          <w:rFonts w:hint="eastAsia" w:ascii="Times New Roman" w:hAnsi="Times New Roman" w:eastAsia="仿宋_GB2312" w:cs="Times New Roman"/>
          <w:b w:val="0"/>
          <w:bCs w:val="0"/>
          <w:color w:val="auto"/>
          <w:kern w:val="2"/>
          <w:sz w:val="32"/>
          <w:szCs w:val="32"/>
          <w:highlight w:val="none"/>
          <w:u w:val="none"/>
          <w:lang w:val="zh-CN" w:eastAsia="zh-CN" w:bidi="ar-SA"/>
        </w:rPr>
        <w:t>建筑垃圾在收运和处理过程中，在工程设计、建设和运行中遵守</w:t>
      </w:r>
      <w:r>
        <w:rPr>
          <w:rFonts w:hint="eastAsia" w:ascii="仿宋_GB2312" w:hAnsi="仿宋_GB2312" w:eastAsia="仿宋_GB2312" w:cs="仿宋_GB2312"/>
          <w:b w:val="0"/>
          <w:bCs w:val="0"/>
          <w:color w:val="auto"/>
          <w:kern w:val="2"/>
          <w:sz w:val="32"/>
          <w:szCs w:val="32"/>
          <w:highlight w:val="none"/>
          <w:u w:val="none"/>
          <w:lang w:val="zh-CN" w:eastAsia="zh-CN" w:bidi="ar-SA"/>
        </w:rPr>
        <w:t>“</w:t>
      </w:r>
      <w:r>
        <w:rPr>
          <w:rFonts w:hint="eastAsia" w:ascii="Times New Roman" w:hAnsi="Times New Roman" w:eastAsia="仿宋_GB2312" w:cs="Times New Roman"/>
          <w:b w:val="0"/>
          <w:bCs w:val="0"/>
          <w:color w:val="auto"/>
          <w:kern w:val="2"/>
          <w:sz w:val="32"/>
          <w:szCs w:val="32"/>
          <w:highlight w:val="none"/>
          <w:u w:val="none"/>
          <w:lang w:val="zh-CN" w:eastAsia="zh-CN" w:bidi="ar-SA"/>
        </w:rPr>
        <w:t>清洁生产、总量控制、达标排放</w:t>
      </w:r>
      <w:r>
        <w:rPr>
          <w:rFonts w:hint="eastAsia" w:ascii="仿宋_GB2312" w:hAnsi="仿宋_GB2312" w:eastAsia="仿宋_GB2312" w:cs="仿宋_GB2312"/>
          <w:b w:val="0"/>
          <w:bCs w:val="0"/>
          <w:color w:val="auto"/>
          <w:kern w:val="2"/>
          <w:sz w:val="32"/>
          <w:szCs w:val="32"/>
          <w:highlight w:val="none"/>
          <w:u w:val="none"/>
          <w:lang w:val="zh-CN" w:eastAsia="zh-CN" w:bidi="ar-SA"/>
        </w:rPr>
        <w:t>”</w:t>
      </w:r>
      <w:r>
        <w:rPr>
          <w:rFonts w:hint="eastAsia" w:ascii="Times New Roman" w:hAnsi="Times New Roman" w:eastAsia="仿宋_GB2312" w:cs="Times New Roman"/>
          <w:b w:val="0"/>
          <w:bCs w:val="0"/>
          <w:color w:val="auto"/>
          <w:kern w:val="2"/>
          <w:sz w:val="32"/>
          <w:szCs w:val="32"/>
          <w:highlight w:val="none"/>
          <w:u w:val="none"/>
          <w:lang w:val="zh-CN" w:eastAsia="zh-CN" w:bidi="ar-SA"/>
        </w:rPr>
        <w:t>的原则，对空气质量的影响控制在标准范围内。</w:t>
      </w:r>
    </w:p>
    <w:p w14:paraId="08A01075">
      <w:pPr>
        <w:pageBreakBefore w:val="0"/>
        <w:kinsoku/>
        <w:wordWrap/>
        <w:topLinePunct w:val="0"/>
        <w:bidi w:val="0"/>
        <w:spacing w:beforeAutospacing="0" w:afterAutospacing="0" w:line="560" w:lineRule="exact"/>
        <w:ind w:left="0" w:leftChars="0"/>
        <w:rPr>
          <w:rFonts w:hint="eastAsia" w:ascii="Times New Roman" w:hAnsi="Times New Roman" w:eastAsia="仿宋_GB2312" w:cs="Times New Roman"/>
          <w:b w:val="0"/>
          <w:bCs w:val="0"/>
          <w:color w:val="auto"/>
          <w:kern w:val="2"/>
          <w:sz w:val="32"/>
          <w:szCs w:val="32"/>
          <w:highlight w:val="none"/>
          <w:u w:val="none"/>
          <w:lang w:val="en-US" w:eastAsia="zh-CN" w:bidi="ar-SA"/>
        </w:rPr>
      </w:pPr>
      <w:r>
        <w:rPr>
          <w:rFonts w:hint="default" w:ascii="Times New Roman" w:hAnsi="Times New Roman" w:eastAsia="仿宋_GB2312" w:cs="Times New Roman"/>
          <w:b w:val="0"/>
          <w:bCs w:val="0"/>
          <w:color w:val="auto"/>
          <w:kern w:val="2"/>
          <w:sz w:val="32"/>
          <w:szCs w:val="32"/>
          <w:highlight w:val="none"/>
          <w:u w:val="none"/>
          <w:lang w:val="en-US" w:eastAsia="zh-CN" w:bidi="ar-SA"/>
        </w:rPr>
        <w:t>2</w:t>
      </w:r>
      <w:r>
        <w:rPr>
          <w:rFonts w:hint="eastAsia" w:eastAsia="仿宋_GB2312" w:cs="Times New Roman"/>
          <w:b w:val="0"/>
          <w:bCs w:val="0"/>
          <w:color w:val="auto"/>
          <w:kern w:val="2"/>
          <w:sz w:val="32"/>
          <w:szCs w:val="32"/>
          <w:highlight w:val="none"/>
          <w:u w:val="none"/>
          <w:lang w:val="en-US" w:eastAsia="zh-CN" w:bidi="ar-SA"/>
        </w:rPr>
        <w:t>．</w:t>
      </w:r>
      <w:r>
        <w:rPr>
          <w:rFonts w:hint="eastAsia" w:ascii="Times New Roman" w:hAnsi="Times New Roman" w:eastAsia="仿宋_GB2312" w:cs="Times New Roman"/>
          <w:b w:val="0"/>
          <w:bCs w:val="0"/>
          <w:color w:val="auto"/>
          <w:kern w:val="2"/>
          <w:sz w:val="32"/>
          <w:szCs w:val="32"/>
          <w:highlight w:val="none"/>
          <w:u w:val="none"/>
          <w:lang w:val="en-US" w:eastAsia="zh-CN" w:bidi="ar-SA"/>
        </w:rPr>
        <w:t>水体环境影响评价</w:t>
      </w:r>
    </w:p>
    <w:p w14:paraId="26A3251A">
      <w:pPr>
        <w:pageBreakBefore w:val="0"/>
        <w:kinsoku/>
        <w:wordWrap/>
        <w:topLinePunct w:val="0"/>
        <w:bidi w:val="0"/>
        <w:spacing w:beforeAutospacing="0" w:afterAutospacing="0" w:line="560" w:lineRule="exact"/>
        <w:ind w:left="0" w:leftChars="0"/>
        <w:rPr>
          <w:rFonts w:hint="eastAsia" w:ascii="Times New Roman" w:hAnsi="Times New Roman" w:eastAsia="仿宋_GB2312" w:cs="Times New Roman"/>
          <w:b w:val="0"/>
          <w:bCs w:val="0"/>
          <w:color w:val="auto"/>
          <w:kern w:val="2"/>
          <w:sz w:val="32"/>
          <w:szCs w:val="32"/>
          <w:highlight w:val="none"/>
          <w:u w:val="none"/>
          <w:lang w:val="en-US" w:eastAsia="zh-CN" w:bidi="ar-SA"/>
        </w:rPr>
      </w:pPr>
      <w:r>
        <w:rPr>
          <w:rFonts w:hint="eastAsia" w:ascii="Times New Roman" w:hAnsi="Times New Roman" w:eastAsia="仿宋_GB2312" w:cs="Times New Roman"/>
          <w:b w:val="0"/>
          <w:bCs w:val="0"/>
          <w:color w:val="auto"/>
          <w:kern w:val="2"/>
          <w:sz w:val="32"/>
          <w:szCs w:val="32"/>
          <w:highlight w:val="none"/>
          <w:u w:val="none"/>
          <w:lang w:val="en-US" w:eastAsia="zh-CN" w:bidi="ar-SA"/>
        </w:rPr>
        <w:t>建筑垃圾收运和处理中采取雨污分流措施，按照《建筑垃</w:t>
      </w:r>
      <w:r>
        <w:rPr>
          <w:rFonts w:hint="eastAsia" w:ascii="Times New Roman" w:hAnsi="Times New Roman" w:eastAsia="仿宋_GB2312" w:cs="Times New Roman"/>
          <w:b w:val="0"/>
          <w:bCs w:val="0"/>
          <w:color w:val="auto"/>
          <w:spacing w:val="6"/>
          <w:kern w:val="2"/>
          <w:sz w:val="32"/>
          <w:szCs w:val="32"/>
          <w:highlight w:val="none"/>
          <w:u w:val="none"/>
          <w:lang w:val="en-US" w:eastAsia="zh-CN" w:bidi="ar-SA"/>
        </w:rPr>
        <w:t>圾处理技术标准》</w:t>
      </w:r>
      <w:r>
        <w:rPr>
          <w:rFonts w:hint="eastAsia" w:eastAsia="仿宋_GB2312" w:cs="Times New Roman"/>
          <w:b w:val="0"/>
          <w:bCs w:val="0"/>
          <w:color w:val="auto"/>
          <w:spacing w:val="6"/>
          <w:kern w:val="2"/>
          <w:sz w:val="32"/>
          <w:szCs w:val="32"/>
          <w:highlight w:val="none"/>
          <w:u w:val="none"/>
          <w:lang w:val="en-US" w:eastAsia="zh-CN" w:bidi="ar-SA"/>
        </w:rPr>
        <w:t>（</w:t>
      </w:r>
      <w:r>
        <w:rPr>
          <w:rFonts w:hint="eastAsia" w:ascii="Times New Roman" w:hAnsi="Times New Roman" w:eastAsia="仿宋_GB2312" w:cs="Times New Roman"/>
          <w:b w:val="0"/>
          <w:bCs w:val="0"/>
          <w:color w:val="auto"/>
          <w:spacing w:val="6"/>
          <w:kern w:val="2"/>
          <w:sz w:val="32"/>
          <w:szCs w:val="32"/>
          <w:highlight w:val="none"/>
          <w:u w:val="none"/>
          <w:lang w:val="en-US" w:eastAsia="zh-CN" w:bidi="ar-SA"/>
        </w:rPr>
        <w:t>CJJ/T</w:t>
      </w:r>
      <w:r>
        <w:rPr>
          <w:rFonts w:hint="default" w:ascii="Times New Roman" w:hAnsi="Times New Roman" w:eastAsia="仿宋_GB2312" w:cs="Times New Roman"/>
          <w:b w:val="0"/>
          <w:bCs w:val="0"/>
          <w:color w:val="auto"/>
          <w:spacing w:val="6"/>
          <w:kern w:val="2"/>
          <w:sz w:val="32"/>
          <w:szCs w:val="32"/>
          <w:highlight w:val="none"/>
          <w:u w:val="none"/>
          <w:lang w:val="en-US" w:eastAsia="zh-CN" w:bidi="ar-SA"/>
        </w:rPr>
        <w:t>134</w:t>
      </w:r>
      <w:r>
        <w:rPr>
          <w:rFonts w:hint="eastAsia" w:eastAsia="仿宋_GB2312" w:cs="Times New Roman"/>
          <w:b w:val="0"/>
          <w:bCs w:val="0"/>
          <w:color w:val="auto"/>
          <w:spacing w:val="6"/>
          <w:kern w:val="2"/>
          <w:sz w:val="32"/>
          <w:szCs w:val="32"/>
          <w:highlight w:val="none"/>
          <w:u w:val="none"/>
          <w:lang w:val="en-US" w:eastAsia="zh-CN" w:bidi="ar-SA"/>
        </w:rPr>
        <w:t>—</w:t>
      </w:r>
      <w:r>
        <w:rPr>
          <w:rFonts w:hint="default" w:ascii="Times New Roman" w:hAnsi="Times New Roman" w:eastAsia="仿宋_GB2312" w:cs="Times New Roman"/>
          <w:b w:val="0"/>
          <w:bCs w:val="0"/>
          <w:color w:val="auto"/>
          <w:spacing w:val="6"/>
          <w:kern w:val="2"/>
          <w:sz w:val="32"/>
          <w:szCs w:val="32"/>
          <w:highlight w:val="none"/>
          <w:u w:val="none"/>
          <w:lang w:val="en-US" w:eastAsia="zh-CN" w:bidi="ar-SA"/>
        </w:rPr>
        <w:t>2019</w:t>
      </w:r>
      <w:r>
        <w:rPr>
          <w:rFonts w:hint="eastAsia" w:eastAsia="仿宋_GB2312" w:cs="Times New Roman"/>
          <w:b w:val="0"/>
          <w:bCs w:val="0"/>
          <w:color w:val="auto"/>
          <w:spacing w:val="6"/>
          <w:kern w:val="2"/>
          <w:sz w:val="32"/>
          <w:szCs w:val="32"/>
          <w:highlight w:val="none"/>
          <w:u w:val="none"/>
          <w:lang w:val="en-US" w:eastAsia="zh-CN" w:bidi="ar-SA"/>
        </w:rPr>
        <w:t>）</w:t>
      </w:r>
      <w:r>
        <w:rPr>
          <w:rFonts w:hint="eastAsia" w:ascii="Times New Roman" w:hAnsi="Times New Roman" w:eastAsia="仿宋_GB2312" w:cs="Times New Roman"/>
          <w:b w:val="0"/>
          <w:bCs w:val="0"/>
          <w:color w:val="auto"/>
          <w:spacing w:val="6"/>
          <w:kern w:val="2"/>
          <w:sz w:val="32"/>
          <w:szCs w:val="32"/>
          <w:highlight w:val="none"/>
          <w:u w:val="none"/>
          <w:lang w:val="en-US" w:eastAsia="zh-CN" w:bidi="ar-SA"/>
        </w:rPr>
        <w:t>的要求落实污水导排和处理，污水经处理达标后排放，对水环境的影响控制在标准范围内。</w:t>
      </w:r>
    </w:p>
    <w:p w14:paraId="4A72524A">
      <w:pPr>
        <w:pageBreakBefore w:val="0"/>
        <w:kinsoku/>
        <w:wordWrap/>
        <w:topLinePunct w:val="0"/>
        <w:bidi w:val="0"/>
        <w:spacing w:beforeAutospacing="0" w:afterAutospacing="0" w:line="560" w:lineRule="exact"/>
        <w:ind w:left="0" w:leftChars="0"/>
        <w:rPr>
          <w:rFonts w:hint="eastAsia" w:ascii="Times New Roman" w:hAnsi="Times New Roman" w:eastAsia="仿宋_GB2312" w:cs="Times New Roman"/>
          <w:b w:val="0"/>
          <w:bCs w:val="0"/>
          <w:color w:val="auto"/>
          <w:kern w:val="2"/>
          <w:sz w:val="32"/>
          <w:szCs w:val="32"/>
          <w:highlight w:val="none"/>
          <w:u w:val="none"/>
          <w:lang w:val="en-US" w:eastAsia="zh-CN" w:bidi="ar-SA"/>
        </w:rPr>
      </w:pPr>
      <w:r>
        <w:rPr>
          <w:rFonts w:hint="default" w:ascii="Times New Roman" w:hAnsi="Times New Roman" w:eastAsia="仿宋_GB2312" w:cs="Times New Roman"/>
          <w:b w:val="0"/>
          <w:bCs w:val="0"/>
          <w:color w:val="auto"/>
          <w:kern w:val="2"/>
          <w:sz w:val="32"/>
          <w:szCs w:val="32"/>
          <w:highlight w:val="none"/>
          <w:u w:val="none"/>
          <w:lang w:val="en-US" w:eastAsia="zh-CN" w:bidi="ar-SA"/>
        </w:rPr>
        <w:t>3</w:t>
      </w:r>
      <w:r>
        <w:rPr>
          <w:rFonts w:hint="eastAsia" w:eastAsia="仿宋_GB2312" w:cs="Times New Roman"/>
          <w:b w:val="0"/>
          <w:bCs w:val="0"/>
          <w:color w:val="auto"/>
          <w:kern w:val="2"/>
          <w:sz w:val="32"/>
          <w:szCs w:val="32"/>
          <w:highlight w:val="none"/>
          <w:u w:val="none"/>
          <w:lang w:val="en-US" w:eastAsia="zh-CN" w:bidi="ar-SA"/>
        </w:rPr>
        <w:t>．</w:t>
      </w:r>
      <w:r>
        <w:rPr>
          <w:rFonts w:hint="eastAsia" w:ascii="Times New Roman" w:hAnsi="Times New Roman" w:eastAsia="仿宋_GB2312" w:cs="Times New Roman"/>
          <w:b w:val="0"/>
          <w:bCs w:val="0"/>
          <w:color w:val="auto"/>
          <w:kern w:val="2"/>
          <w:sz w:val="32"/>
          <w:szCs w:val="32"/>
          <w:highlight w:val="none"/>
          <w:u w:val="none"/>
          <w:lang w:val="en-US" w:eastAsia="zh-CN" w:bidi="ar-SA"/>
        </w:rPr>
        <w:t>声环境影响评价</w:t>
      </w:r>
    </w:p>
    <w:p w14:paraId="3EB662BC">
      <w:pPr>
        <w:pageBreakBefore w:val="0"/>
        <w:kinsoku/>
        <w:wordWrap/>
        <w:topLinePunct w:val="0"/>
        <w:bidi w:val="0"/>
        <w:spacing w:beforeAutospacing="0" w:afterAutospacing="0" w:line="560" w:lineRule="exact"/>
        <w:ind w:left="0" w:leftChars="0"/>
        <w:rPr>
          <w:rFonts w:hint="eastAsia" w:ascii="Times New Roman" w:hAnsi="Times New Roman" w:eastAsia="仿宋_GB2312" w:cs="Times New Roman"/>
          <w:b w:val="0"/>
          <w:bCs w:val="0"/>
          <w:color w:val="auto"/>
          <w:kern w:val="2"/>
          <w:sz w:val="32"/>
          <w:szCs w:val="32"/>
          <w:highlight w:val="none"/>
          <w:u w:val="none"/>
          <w:lang w:val="en-US" w:eastAsia="zh-CN" w:bidi="ar-SA"/>
        </w:rPr>
      </w:pPr>
      <w:r>
        <w:rPr>
          <w:rFonts w:hint="eastAsia" w:ascii="Times New Roman" w:hAnsi="Times New Roman" w:eastAsia="仿宋_GB2312" w:cs="Times New Roman"/>
          <w:b w:val="0"/>
          <w:bCs w:val="0"/>
          <w:color w:val="auto"/>
          <w:kern w:val="2"/>
          <w:sz w:val="32"/>
          <w:szCs w:val="32"/>
          <w:highlight w:val="none"/>
          <w:u w:val="none"/>
          <w:lang w:val="en-US" w:eastAsia="zh-CN" w:bidi="ar-SA"/>
        </w:rPr>
        <w:t>建筑垃圾收运和处理过程中噪声会对当地环境产生一定的影响。运行期设备操作中产生的噪声，均采用降噪措施，对声环境的影响控制在标准范围内。</w:t>
      </w:r>
    </w:p>
    <w:p w14:paraId="35AABA04">
      <w:pPr>
        <w:pageBreakBefore w:val="0"/>
        <w:kinsoku/>
        <w:wordWrap/>
        <w:topLinePunct w:val="0"/>
        <w:bidi w:val="0"/>
        <w:spacing w:beforeAutospacing="0" w:afterAutospacing="0" w:line="560" w:lineRule="exact"/>
        <w:ind w:left="0" w:leftChars="0"/>
        <w:rPr>
          <w:rFonts w:hint="eastAsia" w:ascii="Times New Roman" w:hAnsi="Times New Roman" w:eastAsia="仿宋_GB2312" w:cs="Times New Roman"/>
          <w:b w:val="0"/>
          <w:bCs w:val="0"/>
          <w:color w:val="auto"/>
          <w:kern w:val="2"/>
          <w:sz w:val="32"/>
          <w:szCs w:val="32"/>
          <w:highlight w:val="none"/>
          <w:u w:val="none"/>
          <w:lang w:val="en-US" w:eastAsia="zh-CN" w:bidi="ar-SA"/>
        </w:rPr>
      </w:pPr>
      <w:r>
        <w:rPr>
          <w:rFonts w:hint="default" w:ascii="Times New Roman" w:hAnsi="Times New Roman" w:eastAsia="仿宋_GB2312" w:cs="Times New Roman"/>
          <w:b w:val="0"/>
          <w:bCs w:val="0"/>
          <w:color w:val="auto"/>
          <w:kern w:val="2"/>
          <w:sz w:val="32"/>
          <w:szCs w:val="32"/>
          <w:highlight w:val="none"/>
          <w:u w:val="none"/>
          <w:lang w:val="en-US" w:eastAsia="zh-CN" w:bidi="ar-SA"/>
        </w:rPr>
        <w:t>4</w:t>
      </w:r>
      <w:r>
        <w:rPr>
          <w:rFonts w:hint="eastAsia" w:eastAsia="仿宋_GB2312" w:cs="Times New Roman"/>
          <w:b w:val="0"/>
          <w:bCs w:val="0"/>
          <w:color w:val="auto"/>
          <w:kern w:val="2"/>
          <w:sz w:val="32"/>
          <w:szCs w:val="32"/>
          <w:highlight w:val="none"/>
          <w:u w:val="none"/>
          <w:lang w:val="en-US" w:eastAsia="zh-CN" w:bidi="ar-SA"/>
        </w:rPr>
        <w:t>．</w:t>
      </w:r>
      <w:r>
        <w:rPr>
          <w:rFonts w:hint="eastAsia" w:ascii="Times New Roman" w:hAnsi="Times New Roman" w:eastAsia="仿宋_GB2312" w:cs="Times New Roman"/>
          <w:b w:val="0"/>
          <w:bCs w:val="0"/>
          <w:color w:val="auto"/>
          <w:kern w:val="2"/>
          <w:sz w:val="32"/>
          <w:szCs w:val="32"/>
          <w:highlight w:val="none"/>
          <w:u w:val="none"/>
          <w:lang w:val="en-US" w:eastAsia="zh-CN" w:bidi="ar-SA"/>
        </w:rPr>
        <w:t>土壤环境影响评价</w:t>
      </w:r>
    </w:p>
    <w:p w14:paraId="50DCD839">
      <w:pPr>
        <w:pageBreakBefore w:val="0"/>
        <w:kinsoku/>
        <w:wordWrap/>
        <w:topLinePunct w:val="0"/>
        <w:bidi w:val="0"/>
        <w:spacing w:beforeAutospacing="0" w:afterAutospacing="0" w:line="560" w:lineRule="exact"/>
        <w:ind w:left="0" w:leftChars="0"/>
        <w:rPr>
          <w:rFonts w:hint="eastAsia" w:ascii="Times New Roman" w:hAnsi="Times New Roman" w:eastAsia="仿宋_GB2312" w:cs="Times New Roman"/>
          <w:b w:val="0"/>
          <w:bCs w:val="0"/>
          <w:color w:val="auto"/>
          <w:kern w:val="2"/>
          <w:sz w:val="32"/>
          <w:szCs w:val="32"/>
          <w:highlight w:val="none"/>
          <w:u w:val="none"/>
          <w:lang w:val="en-US" w:eastAsia="zh-CN" w:bidi="ar-SA"/>
        </w:rPr>
      </w:pPr>
      <w:r>
        <w:rPr>
          <w:rFonts w:hint="eastAsia" w:ascii="Times New Roman" w:hAnsi="Times New Roman" w:eastAsia="仿宋_GB2312" w:cs="Times New Roman"/>
          <w:b w:val="0"/>
          <w:bCs w:val="0"/>
          <w:color w:val="auto"/>
          <w:kern w:val="2"/>
          <w:sz w:val="32"/>
          <w:szCs w:val="32"/>
          <w:highlight w:val="none"/>
          <w:u w:val="none"/>
          <w:lang w:val="en-US" w:eastAsia="zh-CN" w:bidi="ar-SA"/>
        </w:rPr>
        <w:t>建筑垃圾收运和处理过程中采取地面平整硬化、铺设防渗系统等措施，将对土壤环境的影响控制在标准范围内。</w:t>
      </w:r>
    </w:p>
    <w:p w14:paraId="73C85065">
      <w:pPr>
        <w:pageBreakBefore w:val="0"/>
        <w:kinsoku/>
        <w:wordWrap/>
        <w:topLinePunct w:val="0"/>
        <w:bidi w:val="0"/>
        <w:spacing w:beforeAutospacing="0" w:afterAutospacing="0" w:line="560" w:lineRule="exact"/>
        <w:ind w:left="0" w:leftChars="0"/>
        <w:rPr>
          <w:rFonts w:hint="eastAsia" w:ascii="Times New Roman" w:hAnsi="Times New Roman" w:eastAsia="仿宋_GB2312" w:cs="Times New Roman"/>
          <w:b w:val="0"/>
          <w:bCs w:val="0"/>
          <w:color w:val="auto"/>
          <w:kern w:val="2"/>
          <w:sz w:val="32"/>
          <w:szCs w:val="32"/>
          <w:highlight w:val="none"/>
          <w:u w:val="none"/>
          <w:lang w:val="en-US" w:eastAsia="zh-CN" w:bidi="ar-SA"/>
        </w:rPr>
      </w:pPr>
      <w:r>
        <w:rPr>
          <w:rFonts w:hint="default" w:ascii="Times New Roman" w:hAnsi="Times New Roman" w:eastAsia="仿宋_GB2312" w:cs="Times New Roman"/>
          <w:b w:val="0"/>
          <w:bCs w:val="0"/>
          <w:color w:val="auto"/>
          <w:kern w:val="2"/>
          <w:sz w:val="32"/>
          <w:szCs w:val="32"/>
          <w:highlight w:val="none"/>
          <w:u w:val="none"/>
          <w:lang w:val="en-US" w:eastAsia="zh-CN" w:bidi="ar-SA"/>
        </w:rPr>
        <w:t>5</w:t>
      </w:r>
      <w:r>
        <w:rPr>
          <w:rFonts w:hint="eastAsia" w:eastAsia="仿宋_GB2312" w:cs="Times New Roman"/>
          <w:b w:val="0"/>
          <w:bCs w:val="0"/>
          <w:color w:val="auto"/>
          <w:kern w:val="2"/>
          <w:sz w:val="32"/>
          <w:szCs w:val="32"/>
          <w:highlight w:val="none"/>
          <w:u w:val="none"/>
          <w:lang w:val="en-US" w:eastAsia="zh-CN" w:bidi="ar-SA"/>
        </w:rPr>
        <w:t>．</w:t>
      </w:r>
      <w:r>
        <w:rPr>
          <w:rFonts w:hint="eastAsia" w:ascii="Times New Roman" w:hAnsi="Times New Roman" w:eastAsia="仿宋_GB2312" w:cs="Times New Roman"/>
          <w:b w:val="0"/>
          <w:bCs w:val="0"/>
          <w:color w:val="auto"/>
          <w:kern w:val="2"/>
          <w:sz w:val="32"/>
          <w:szCs w:val="32"/>
          <w:highlight w:val="none"/>
          <w:u w:val="none"/>
          <w:lang w:val="en-US" w:eastAsia="zh-CN" w:bidi="ar-SA"/>
        </w:rPr>
        <w:t>地下水环境影响评价</w:t>
      </w:r>
    </w:p>
    <w:p w14:paraId="4CE506D8">
      <w:pPr>
        <w:pageBreakBefore w:val="0"/>
        <w:kinsoku/>
        <w:wordWrap/>
        <w:topLinePunct w:val="0"/>
        <w:bidi w:val="0"/>
        <w:spacing w:beforeAutospacing="0" w:afterAutospacing="0" w:line="560" w:lineRule="exact"/>
        <w:ind w:left="0" w:leftChars="0"/>
        <w:rPr>
          <w:rFonts w:hint="eastAsia" w:ascii="Times New Roman" w:hAnsi="Times New Roman" w:eastAsia="仿宋_GB2312" w:cs="Times New Roman"/>
          <w:b w:val="0"/>
          <w:bCs w:val="0"/>
          <w:color w:val="auto"/>
          <w:kern w:val="2"/>
          <w:sz w:val="32"/>
          <w:szCs w:val="32"/>
          <w:highlight w:val="none"/>
          <w:u w:val="none"/>
          <w:lang w:val="en-US" w:eastAsia="zh-CN" w:bidi="ar-SA"/>
        </w:rPr>
      </w:pPr>
      <w:r>
        <w:rPr>
          <w:rFonts w:hint="eastAsia" w:ascii="Times New Roman" w:hAnsi="Times New Roman" w:eastAsia="仿宋_GB2312" w:cs="Times New Roman"/>
          <w:b w:val="0"/>
          <w:bCs w:val="0"/>
          <w:color w:val="auto"/>
          <w:kern w:val="2"/>
          <w:sz w:val="32"/>
          <w:szCs w:val="32"/>
          <w:highlight w:val="none"/>
          <w:u w:val="none"/>
          <w:lang w:val="en-US" w:eastAsia="zh-CN" w:bidi="ar-SA"/>
        </w:rPr>
        <w:t>建筑垃圾收运和处理过程中根据相关标准规范要求设置地下水导排系统，设置地下水监测井进行地下水监测作业，将对地下水环境的影响控制在标准范围内。</w:t>
      </w:r>
    </w:p>
    <w:p w14:paraId="1B840D48">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leftChars="0"/>
        <w:textAlignment w:val="auto"/>
        <w:outlineLvl w:val="1"/>
        <w:rPr>
          <w:rFonts w:hint="eastAsia" w:ascii="Times New Roman" w:hAnsi="Times New Roman" w:eastAsia="仿宋_GB2312" w:cs="Times New Roman"/>
          <w:b w:val="0"/>
          <w:bCs w:val="0"/>
          <w:color w:val="auto"/>
          <w:kern w:val="2"/>
          <w:sz w:val="32"/>
          <w:szCs w:val="32"/>
          <w:highlight w:val="none"/>
          <w:u w:val="none"/>
          <w:lang w:val="en-US" w:eastAsia="zh-CN" w:bidi="ar-SA"/>
        </w:rPr>
      </w:pPr>
      <w:bookmarkStart w:id="142" w:name="_Toc3676"/>
      <w:r>
        <w:rPr>
          <w:rFonts w:hint="eastAsia" w:ascii="楷体_GB2312" w:hAnsi="楷体_GB2312" w:eastAsia="楷体_GB2312" w:cs="楷体_GB2312"/>
          <w:b w:val="0"/>
          <w:bCs w:val="0"/>
          <w:color w:val="auto"/>
          <w:kern w:val="2"/>
          <w:sz w:val="32"/>
          <w:szCs w:val="32"/>
          <w:highlight w:val="none"/>
          <w:u w:val="none"/>
          <w:lang w:val="en-US" w:eastAsia="zh-CN" w:bidi="ar-SA"/>
        </w:rPr>
        <w:t>（五）劳动保护安全</w:t>
      </w:r>
      <w:bookmarkEnd w:id="142"/>
    </w:p>
    <w:p w14:paraId="6CF986F6">
      <w:pPr>
        <w:pageBreakBefore w:val="0"/>
        <w:kinsoku/>
        <w:wordWrap/>
        <w:topLinePunct w:val="0"/>
        <w:bidi w:val="0"/>
        <w:spacing w:beforeAutospacing="0" w:afterAutospacing="0" w:line="560" w:lineRule="exact"/>
        <w:ind w:left="0" w:leftChars="0"/>
        <w:rPr>
          <w:rFonts w:hint="eastAsia" w:ascii="Times New Roman" w:hAnsi="Times New Roman" w:eastAsia="仿宋_GB2312" w:cs="Times New Roman"/>
          <w:b w:val="0"/>
          <w:bCs w:val="0"/>
          <w:color w:val="auto"/>
          <w:kern w:val="2"/>
          <w:sz w:val="32"/>
          <w:szCs w:val="32"/>
          <w:highlight w:val="none"/>
          <w:u w:val="none"/>
          <w:lang w:val="en-US" w:eastAsia="zh-CN" w:bidi="ar-SA"/>
        </w:rPr>
      </w:pPr>
      <w:r>
        <w:rPr>
          <w:rFonts w:hint="eastAsia" w:ascii="Times New Roman" w:hAnsi="Times New Roman" w:eastAsia="仿宋_GB2312" w:cs="Times New Roman"/>
          <w:b w:val="0"/>
          <w:bCs w:val="0"/>
          <w:color w:val="auto"/>
          <w:kern w:val="2"/>
          <w:sz w:val="32"/>
          <w:szCs w:val="32"/>
          <w:highlight w:val="none"/>
          <w:u w:val="none"/>
          <w:lang w:val="en-US" w:eastAsia="zh-CN" w:bidi="ar-SA"/>
        </w:rPr>
        <w:t>建筑垃圾收运</w:t>
      </w:r>
      <w:r>
        <w:rPr>
          <w:rFonts w:hint="eastAsia" w:eastAsia="仿宋_GB2312" w:cs="Times New Roman"/>
          <w:b w:val="0"/>
          <w:bCs w:val="0"/>
          <w:color w:val="auto"/>
          <w:kern w:val="2"/>
          <w:sz w:val="32"/>
          <w:szCs w:val="32"/>
          <w:highlight w:val="none"/>
          <w:u w:val="none"/>
          <w:lang w:val="en-US" w:eastAsia="zh-CN" w:bidi="ar-SA"/>
        </w:rPr>
        <w:t>和</w:t>
      </w:r>
      <w:r>
        <w:rPr>
          <w:rFonts w:hint="eastAsia" w:ascii="Times New Roman" w:hAnsi="Times New Roman" w:eastAsia="仿宋_GB2312" w:cs="Times New Roman"/>
          <w:b w:val="0"/>
          <w:bCs w:val="0"/>
          <w:color w:val="auto"/>
          <w:kern w:val="2"/>
          <w:sz w:val="32"/>
          <w:szCs w:val="32"/>
          <w:highlight w:val="none"/>
          <w:u w:val="none"/>
          <w:lang w:val="en-US" w:eastAsia="zh-CN" w:bidi="ar-SA"/>
        </w:rPr>
        <w:t>处理过程的安全生产预防控制应符合以下要求</w:t>
      </w:r>
      <w:r>
        <w:rPr>
          <w:rFonts w:hint="eastAsia" w:eastAsia="仿宋_GB2312" w:cs="Times New Roman"/>
          <w:b w:val="0"/>
          <w:bCs w:val="0"/>
          <w:color w:val="auto"/>
          <w:kern w:val="2"/>
          <w:sz w:val="32"/>
          <w:szCs w:val="32"/>
          <w:highlight w:val="none"/>
          <w:u w:val="none"/>
          <w:lang w:val="en-US" w:eastAsia="zh-CN" w:bidi="ar-SA"/>
        </w:rPr>
        <w:t>：</w:t>
      </w:r>
    </w:p>
    <w:p w14:paraId="386E4373">
      <w:pPr>
        <w:pageBreakBefore w:val="0"/>
        <w:kinsoku/>
        <w:wordWrap/>
        <w:topLinePunct w:val="0"/>
        <w:bidi w:val="0"/>
        <w:spacing w:beforeAutospacing="0" w:afterAutospacing="0" w:line="560" w:lineRule="exact"/>
        <w:ind w:left="0" w:leftChars="0"/>
        <w:rPr>
          <w:rFonts w:hint="eastAsia" w:ascii="Times New Roman" w:hAnsi="Times New Roman" w:eastAsia="仿宋_GB2312" w:cs="Times New Roman"/>
          <w:b w:val="0"/>
          <w:bCs w:val="0"/>
          <w:color w:val="auto"/>
          <w:kern w:val="2"/>
          <w:sz w:val="32"/>
          <w:szCs w:val="32"/>
          <w:highlight w:val="none"/>
          <w:u w:val="none"/>
          <w:lang w:val="en-US" w:eastAsia="zh-CN" w:bidi="ar-SA"/>
        </w:rPr>
      </w:pPr>
      <w:r>
        <w:rPr>
          <w:rFonts w:hint="default" w:ascii="Times New Roman" w:hAnsi="Times New Roman" w:eastAsia="仿宋_GB2312" w:cs="Times New Roman"/>
          <w:b w:val="0"/>
          <w:bCs w:val="0"/>
          <w:color w:val="auto"/>
          <w:kern w:val="2"/>
          <w:sz w:val="32"/>
          <w:szCs w:val="32"/>
          <w:highlight w:val="none"/>
          <w:u w:val="none"/>
          <w:lang w:val="en-US" w:eastAsia="zh-CN" w:bidi="ar-SA"/>
        </w:rPr>
        <w:t>1</w:t>
      </w:r>
      <w:r>
        <w:rPr>
          <w:rFonts w:hint="eastAsia" w:eastAsia="仿宋_GB2312" w:cs="Times New Roman"/>
          <w:b w:val="0"/>
          <w:bCs w:val="0"/>
          <w:color w:val="auto"/>
          <w:kern w:val="2"/>
          <w:sz w:val="32"/>
          <w:szCs w:val="32"/>
          <w:highlight w:val="none"/>
          <w:u w:val="none"/>
          <w:lang w:val="en-US" w:eastAsia="zh-CN" w:bidi="ar-SA"/>
        </w:rPr>
        <w:t>．</w:t>
      </w:r>
      <w:r>
        <w:rPr>
          <w:rFonts w:hint="eastAsia" w:ascii="Times New Roman" w:hAnsi="Times New Roman" w:eastAsia="仿宋_GB2312" w:cs="Times New Roman"/>
          <w:b w:val="0"/>
          <w:bCs w:val="0"/>
          <w:color w:val="auto"/>
          <w:kern w:val="2"/>
          <w:sz w:val="32"/>
          <w:szCs w:val="32"/>
          <w:highlight w:val="none"/>
          <w:u w:val="none"/>
          <w:lang w:val="en-US" w:eastAsia="zh-CN" w:bidi="ar-SA"/>
        </w:rPr>
        <w:t>堆填作业过程的安全卫生管理应符合现行国家标准</w:t>
      </w:r>
      <w:r>
        <w:rPr>
          <w:rFonts w:hint="eastAsia" w:eastAsia="仿宋_GB2312" w:cs="Times New Roman"/>
          <w:b w:val="0"/>
          <w:bCs w:val="0"/>
          <w:color w:val="auto"/>
          <w:kern w:val="2"/>
          <w:sz w:val="32"/>
          <w:szCs w:val="32"/>
          <w:highlight w:val="none"/>
          <w:u w:val="none"/>
          <w:lang w:val="en-US" w:eastAsia="zh-CN" w:bidi="ar-SA"/>
        </w:rPr>
        <w:t>《</w:t>
      </w:r>
      <w:r>
        <w:rPr>
          <w:rFonts w:hint="eastAsia" w:ascii="Times New Roman" w:hAnsi="Times New Roman" w:eastAsia="仿宋_GB2312" w:cs="Times New Roman"/>
          <w:b w:val="0"/>
          <w:bCs w:val="0"/>
          <w:color w:val="auto"/>
          <w:kern w:val="2"/>
          <w:sz w:val="32"/>
          <w:szCs w:val="32"/>
          <w:highlight w:val="none"/>
          <w:u w:val="none"/>
          <w:lang w:val="en-US" w:eastAsia="zh-CN" w:bidi="ar-SA"/>
        </w:rPr>
        <w:t>生产过程安全卫生要求总则》</w:t>
      </w:r>
      <w:r>
        <w:rPr>
          <w:rFonts w:hint="eastAsia" w:eastAsia="仿宋_GB2312" w:cs="Times New Roman"/>
          <w:b w:val="0"/>
          <w:bCs w:val="0"/>
          <w:color w:val="auto"/>
          <w:kern w:val="2"/>
          <w:sz w:val="32"/>
          <w:szCs w:val="32"/>
          <w:highlight w:val="none"/>
          <w:u w:val="none"/>
          <w:lang w:val="en-US" w:eastAsia="zh-CN" w:bidi="ar-SA"/>
        </w:rPr>
        <w:t>（</w:t>
      </w:r>
      <w:r>
        <w:rPr>
          <w:rFonts w:hint="eastAsia" w:ascii="Times New Roman" w:hAnsi="Times New Roman" w:eastAsia="仿宋_GB2312" w:cs="Times New Roman"/>
          <w:b w:val="0"/>
          <w:bCs w:val="0"/>
          <w:color w:val="auto"/>
          <w:kern w:val="2"/>
          <w:sz w:val="32"/>
          <w:szCs w:val="32"/>
          <w:highlight w:val="none"/>
          <w:u w:val="none"/>
          <w:lang w:val="en-US" w:eastAsia="zh-CN" w:bidi="ar-SA"/>
        </w:rPr>
        <w:t>GB/T</w:t>
      </w:r>
      <w:r>
        <w:rPr>
          <w:rFonts w:hint="default" w:ascii="Times New Roman" w:hAnsi="Times New Roman" w:eastAsia="仿宋_GB2312" w:cs="Times New Roman"/>
          <w:b w:val="0"/>
          <w:bCs w:val="0"/>
          <w:color w:val="auto"/>
          <w:kern w:val="2"/>
          <w:sz w:val="32"/>
          <w:szCs w:val="32"/>
          <w:highlight w:val="none"/>
          <w:u w:val="none"/>
          <w:lang w:val="en-US" w:eastAsia="zh-CN" w:bidi="ar-SA"/>
        </w:rPr>
        <w:t>12801</w:t>
      </w:r>
      <w:r>
        <w:rPr>
          <w:rFonts w:hint="eastAsia" w:eastAsia="仿宋_GB2312" w:cs="Times New Roman"/>
          <w:b w:val="0"/>
          <w:bCs w:val="0"/>
          <w:color w:val="auto"/>
          <w:spacing w:val="6"/>
          <w:kern w:val="2"/>
          <w:sz w:val="32"/>
          <w:szCs w:val="32"/>
          <w:highlight w:val="none"/>
          <w:u w:val="none"/>
          <w:lang w:val="en-US" w:eastAsia="zh-CN" w:bidi="ar-SA"/>
        </w:rPr>
        <w:t>—</w:t>
      </w:r>
      <w:r>
        <w:rPr>
          <w:rFonts w:hint="default" w:ascii="Times New Roman" w:hAnsi="Times New Roman" w:eastAsia="仿宋_GB2312" w:cs="Times New Roman"/>
          <w:b w:val="0"/>
          <w:bCs w:val="0"/>
          <w:color w:val="auto"/>
          <w:kern w:val="2"/>
          <w:sz w:val="32"/>
          <w:szCs w:val="32"/>
          <w:highlight w:val="none"/>
          <w:u w:val="none"/>
          <w:lang w:val="en-US" w:eastAsia="zh-CN" w:bidi="ar-SA"/>
        </w:rPr>
        <w:t>2008</w:t>
      </w:r>
      <w:r>
        <w:rPr>
          <w:rFonts w:hint="eastAsia" w:eastAsia="仿宋_GB2312" w:cs="Times New Roman"/>
          <w:b w:val="0"/>
          <w:bCs w:val="0"/>
          <w:color w:val="auto"/>
          <w:kern w:val="2"/>
          <w:sz w:val="32"/>
          <w:szCs w:val="32"/>
          <w:highlight w:val="none"/>
          <w:u w:val="none"/>
          <w:lang w:val="en-US" w:eastAsia="zh-CN" w:bidi="ar-SA"/>
        </w:rPr>
        <w:t>）</w:t>
      </w:r>
      <w:r>
        <w:rPr>
          <w:rFonts w:hint="eastAsia" w:ascii="Times New Roman" w:hAnsi="Times New Roman" w:eastAsia="仿宋_GB2312" w:cs="Times New Roman"/>
          <w:b w:val="0"/>
          <w:bCs w:val="0"/>
          <w:color w:val="auto"/>
          <w:kern w:val="2"/>
          <w:sz w:val="32"/>
          <w:szCs w:val="32"/>
          <w:highlight w:val="none"/>
          <w:u w:val="none"/>
          <w:lang w:val="en-US" w:eastAsia="zh-CN" w:bidi="ar-SA"/>
        </w:rPr>
        <w:t>的有关规定。</w:t>
      </w:r>
    </w:p>
    <w:p w14:paraId="07859B9A">
      <w:pPr>
        <w:pageBreakBefore w:val="0"/>
        <w:kinsoku/>
        <w:wordWrap/>
        <w:topLinePunct w:val="0"/>
        <w:bidi w:val="0"/>
        <w:spacing w:beforeAutospacing="0" w:afterAutospacing="0" w:line="560" w:lineRule="exact"/>
        <w:ind w:left="0" w:leftChars="0"/>
        <w:rPr>
          <w:rFonts w:hint="eastAsia" w:ascii="Times New Roman" w:hAnsi="Times New Roman" w:eastAsia="仿宋_GB2312" w:cs="Times New Roman"/>
          <w:b w:val="0"/>
          <w:bCs w:val="0"/>
          <w:color w:val="auto"/>
          <w:kern w:val="2"/>
          <w:sz w:val="32"/>
          <w:szCs w:val="32"/>
          <w:highlight w:val="none"/>
          <w:u w:val="none"/>
          <w:lang w:val="en-US" w:eastAsia="zh-CN" w:bidi="ar-SA"/>
        </w:rPr>
      </w:pPr>
      <w:r>
        <w:rPr>
          <w:rFonts w:hint="default" w:ascii="Times New Roman" w:hAnsi="Times New Roman" w:eastAsia="仿宋_GB2312" w:cs="Times New Roman"/>
          <w:b w:val="0"/>
          <w:bCs w:val="0"/>
          <w:color w:val="auto"/>
          <w:kern w:val="2"/>
          <w:sz w:val="32"/>
          <w:szCs w:val="32"/>
          <w:highlight w:val="none"/>
          <w:u w:val="none"/>
          <w:lang w:val="en-US" w:eastAsia="zh-CN" w:bidi="ar-SA"/>
        </w:rPr>
        <w:t>2</w:t>
      </w:r>
      <w:r>
        <w:rPr>
          <w:rFonts w:hint="eastAsia" w:eastAsia="仿宋_GB2312" w:cs="Times New Roman"/>
          <w:b w:val="0"/>
          <w:bCs w:val="0"/>
          <w:color w:val="auto"/>
          <w:kern w:val="2"/>
          <w:sz w:val="32"/>
          <w:szCs w:val="32"/>
          <w:highlight w:val="none"/>
          <w:u w:val="none"/>
          <w:lang w:val="en-US" w:eastAsia="zh-CN" w:bidi="ar-SA"/>
        </w:rPr>
        <w:t>．</w:t>
      </w:r>
      <w:r>
        <w:rPr>
          <w:rFonts w:hint="eastAsia" w:ascii="Times New Roman" w:hAnsi="Times New Roman" w:eastAsia="仿宋_GB2312" w:cs="Times New Roman"/>
          <w:b w:val="0"/>
          <w:bCs w:val="0"/>
          <w:color w:val="auto"/>
          <w:kern w:val="2"/>
          <w:sz w:val="32"/>
          <w:szCs w:val="32"/>
          <w:highlight w:val="none"/>
          <w:u w:val="none"/>
          <w:lang w:val="en-US" w:eastAsia="zh-CN" w:bidi="ar-SA"/>
        </w:rPr>
        <w:t>从事建筑垃圾收集、运输、处理的单位应对作业人员进行劳动安全卫生保护专业培训。作业人员应当经过培训后持证上岗，作业时应穿着统一识别服，做到规范、文明操作。</w:t>
      </w:r>
    </w:p>
    <w:p w14:paraId="0EBA0722">
      <w:pPr>
        <w:pageBreakBefore w:val="0"/>
        <w:kinsoku/>
        <w:wordWrap/>
        <w:topLinePunct w:val="0"/>
        <w:bidi w:val="0"/>
        <w:spacing w:beforeAutospacing="0" w:afterAutospacing="0" w:line="560" w:lineRule="exact"/>
        <w:ind w:left="0" w:leftChars="0"/>
        <w:rPr>
          <w:rFonts w:hint="eastAsia" w:ascii="Times New Roman" w:hAnsi="Times New Roman" w:eastAsia="仿宋_GB2312" w:cs="Times New Roman"/>
          <w:b w:val="0"/>
          <w:bCs w:val="0"/>
          <w:color w:val="auto"/>
          <w:kern w:val="2"/>
          <w:sz w:val="32"/>
          <w:szCs w:val="32"/>
          <w:highlight w:val="none"/>
          <w:u w:val="none"/>
          <w:lang w:val="en-US" w:eastAsia="zh-CN" w:bidi="ar-SA"/>
        </w:rPr>
      </w:pPr>
      <w:r>
        <w:rPr>
          <w:rFonts w:hint="default" w:ascii="Times New Roman" w:hAnsi="Times New Roman" w:eastAsia="仿宋_GB2312" w:cs="Times New Roman"/>
          <w:b w:val="0"/>
          <w:bCs w:val="0"/>
          <w:color w:val="auto"/>
          <w:kern w:val="2"/>
          <w:sz w:val="32"/>
          <w:szCs w:val="32"/>
          <w:highlight w:val="none"/>
          <w:u w:val="none"/>
          <w:lang w:val="en-US" w:eastAsia="zh-CN" w:bidi="ar-SA"/>
        </w:rPr>
        <w:t>3</w:t>
      </w:r>
      <w:r>
        <w:rPr>
          <w:rFonts w:hint="eastAsia" w:eastAsia="仿宋_GB2312" w:cs="Times New Roman"/>
          <w:b w:val="0"/>
          <w:bCs w:val="0"/>
          <w:color w:val="auto"/>
          <w:kern w:val="2"/>
          <w:sz w:val="32"/>
          <w:szCs w:val="32"/>
          <w:highlight w:val="none"/>
          <w:u w:val="none"/>
          <w:lang w:val="en-US" w:eastAsia="zh-CN" w:bidi="ar-SA"/>
        </w:rPr>
        <w:t>．</w:t>
      </w:r>
      <w:r>
        <w:rPr>
          <w:rFonts w:hint="eastAsia" w:ascii="Times New Roman" w:hAnsi="Times New Roman" w:eastAsia="仿宋_GB2312" w:cs="Times New Roman"/>
          <w:b w:val="0"/>
          <w:bCs w:val="0"/>
          <w:color w:val="auto"/>
          <w:kern w:val="2"/>
          <w:sz w:val="32"/>
          <w:szCs w:val="32"/>
          <w:highlight w:val="none"/>
          <w:u w:val="none"/>
          <w:lang w:val="en-US" w:eastAsia="zh-CN" w:bidi="ar-SA"/>
        </w:rPr>
        <w:t>建筑垃圾处理单位应按规定配置作业机械、劳动工具与职业病防护用品。</w:t>
      </w:r>
    </w:p>
    <w:p w14:paraId="726E8002">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left="0" w:leftChars="0"/>
        <w:textAlignment w:val="auto"/>
        <w:rPr>
          <w:rFonts w:hint="eastAsia" w:ascii="Times New Roman" w:hAnsi="Times New Roman" w:eastAsia="仿宋_GB2312" w:cs="Times New Roman"/>
          <w:b w:val="0"/>
          <w:bCs w:val="0"/>
          <w:color w:val="auto"/>
          <w:kern w:val="2"/>
          <w:sz w:val="32"/>
          <w:szCs w:val="32"/>
          <w:highlight w:val="none"/>
          <w:u w:val="none"/>
          <w:lang w:val="en-US" w:eastAsia="zh-CN" w:bidi="ar-SA"/>
        </w:rPr>
      </w:pPr>
      <w:r>
        <w:rPr>
          <w:rFonts w:hint="default" w:ascii="Times New Roman" w:hAnsi="Times New Roman" w:eastAsia="仿宋_GB2312" w:cs="Times New Roman"/>
          <w:b w:val="0"/>
          <w:bCs w:val="0"/>
          <w:color w:val="auto"/>
          <w:kern w:val="2"/>
          <w:sz w:val="32"/>
          <w:szCs w:val="32"/>
          <w:highlight w:val="none"/>
          <w:u w:val="none"/>
          <w:lang w:val="en-US" w:eastAsia="zh-CN" w:bidi="ar-SA"/>
        </w:rPr>
        <w:t>4</w:t>
      </w:r>
      <w:r>
        <w:rPr>
          <w:rFonts w:hint="eastAsia" w:eastAsia="仿宋_GB2312" w:cs="Times New Roman"/>
          <w:b w:val="0"/>
          <w:bCs w:val="0"/>
          <w:color w:val="auto"/>
          <w:kern w:val="2"/>
          <w:sz w:val="32"/>
          <w:szCs w:val="32"/>
          <w:highlight w:val="none"/>
          <w:u w:val="none"/>
          <w:lang w:val="en-US" w:eastAsia="zh-CN" w:bidi="ar-SA"/>
        </w:rPr>
        <w:t>．</w:t>
      </w:r>
      <w:r>
        <w:rPr>
          <w:rFonts w:hint="eastAsia" w:ascii="Times New Roman" w:hAnsi="Times New Roman" w:eastAsia="仿宋_GB2312" w:cs="Times New Roman"/>
          <w:b w:val="0"/>
          <w:bCs w:val="0"/>
          <w:color w:val="auto"/>
          <w:kern w:val="2"/>
          <w:sz w:val="32"/>
          <w:szCs w:val="32"/>
          <w:highlight w:val="none"/>
          <w:u w:val="none"/>
          <w:lang w:val="en-US" w:eastAsia="zh-CN" w:bidi="ar-SA"/>
        </w:rPr>
        <w:t>应在建筑垃圾处理工程现场设置劳动防护用品贮存室，定期进行盘库和补充，应定期对使用过的劳动防护用品进行清洗和消毒</w:t>
      </w:r>
      <w:r>
        <w:rPr>
          <w:rFonts w:hint="eastAsia" w:eastAsia="仿宋_GB2312" w:cs="Times New Roman"/>
          <w:b w:val="0"/>
          <w:bCs w:val="0"/>
          <w:color w:val="auto"/>
          <w:kern w:val="2"/>
          <w:sz w:val="32"/>
          <w:szCs w:val="32"/>
          <w:highlight w:val="none"/>
          <w:u w:val="none"/>
          <w:lang w:val="en-US" w:eastAsia="zh-CN" w:bidi="ar-SA"/>
        </w:rPr>
        <w:t>；</w:t>
      </w:r>
      <w:r>
        <w:rPr>
          <w:rFonts w:hint="eastAsia" w:ascii="Times New Roman" w:hAnsi="Times New Roman" w:eastAsia="仿宋_GB2312" w:cs="Times New Roman"/>
          <w:b w:val="0"/>
          <w:bCs w:val="0"/>
          <w:color w:val="auto"/>
          <w:kern w:val="2"/>
          <w:sz w:val="32"/>
          <w:szCs w:val="32"/>
          <w:highlight w:val="none"/>
          <w:u w:val="none"/>
          <w:lang w:val="en-US" w:eastAsia="zh-CN" w:bidi="ar-SA"/>
        </w:rPr>
        <w:t>应及时更换有破损的劳动防护用品。</w:t>
      </w:r>
    </w:p>
    <w:p w14:paraId="5A60DD72">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left="0" w:leftChars="0"/>
        <w:textAlignment w:val="auto"/>
        <w:rPr>
          <w:rFonts w:hint="eastAsia" w:ascii="Times New Roman" w:hAnsi="Times New Roman" w:eastAsia="仿宋_GB2312" w:cs="Times New Roman"/>
          <w:b w:val="0"/>
          <w:bCs w:val="0"/>
          <w:color w:val="auto"/>
          <w:kern w:val="2"/>
          <w:sz w:val="32"/>
          <w:szCs w:val="32"/>
          <w:highlight w:val="none"/>
          <w:u w:val="none"/>
          <w:lang w:val="en-US" w:eastAsia="zh-CN" w:bidi="ar-SA"/>
        </w:rPr>
      </w:pPr>
      <w:r>
        <w:rPr>
          <w:rFonts w:hint="default" w:ascii="Times New Roman" w:hAnsi="Times New Roman" w:eastAsia="仿宋_GB2312" w:cs="Times New Roman"/>
          <w:b w:val="0"/>
          <w:bCs w:val="0"/>
          <w:color w:val="auto"/>
          <w:kern w:val="2"/>
          <w:sz w:val="32"/>
          <w:szCs w:val="32"/>
          <w:highlight w:val="none"/>
          <w:u w:val="none"/>
          <w:lang w:val="en-US" w:eastAsia="zh-CN" w:bidi="ar-SA"/>
        </w:rPr>
        <w:t>5</w:t>
      </w:r>
      <w:r>
        <w:rPr>
          <w:rFonts w:hint="eastAsia" w:eastAsia="仿宋_GB2312" w:cs="Times New Roman"/>
          <w:b w:val="0"/>
          <w:bCs w:val="0"/>
          <w:color w:val="auto"/>
          <w:kern w:val="2"/>
          <w:sz w:val="32"/>
          <w:szCs w:val="32"/>
          <w:highlight w:val="none"/>
          <w:u w:val="none"/>
          <w:lang w:val="en-US" w:eastAsia="zh-CN" w:bidi="ar-SA"/>
        </w:rPr>
        <w:t>．</w:t>
      </w:r>
      <w:r>
        <w:rPr>
          <w:rFonts w:hint="eastAsia" w:ascii="Times New Roman" w:hAnsi="Times New Roman" w:eastAsia="仿宋_GB2312" w:cs="Times New Roman"/>
          <w:b w:val="0"/>
          <w:bCs w:val="0"/>
          <w:color w:val="auto"/>
          <w:kern w:val="2"/>
          <w:sz w:val="32"/>
          <w:szCs w:val="32"/>
          <w:highlight w:val="none"/>
          <w:u w:val="none"/>
          <w:lang w:val="en-US" w:eastAsia="zh-CN" w:bidi="ar-SA"/>
        </w:rPr>
        <w:t>建筑垃圾收运</w:t>
      </w:r>
      <w:r>
        <w:rPr>
          <w:rFonts w:hint="eastAsia" w:eastAsia="仿宋_GB2312" w:cs="Times New Roman"/>
          <w:b w:val="0"/>
          <w:bCs w:val="0"/>
          <w:color w:val="auto"/>
          <w:kern w:val="2"/>
          <w:sz w:val="32"/>
          <w:szCs w:val="32"/>
          <w:highlight w:val="none"/>
          <w:u w:val="none"/>
          <w:lang w:val="en-US" w:eastAsia="zh-CN" w:bidi="ar-SA"/>
        </w:rPr>
        <w:t>和</w:t>
      </w:r>
      <w:r>
        <w:rPr>
          <w:rFonts w:hint="eastAsia" w:ascii="Times New Roman" w:hAnsi="Times New Roman" w:eastAsia="仿宋_GB2312" w:cs="Times New Roman"/>
          <w:b w:val="0"/>
          <w:bCs w:val="0"/>
          <w:color w:val="auto"/>
          <w:kern w:val="2"/>
          <w:sz w:val="32"/>
          <w:szCs w:val="32"/>
          <w:highlight w:val="none"/>
          <w:u w:val="none"/>
          <w:lang w:val="en-US" w:eastAsia="zh-CN" w:bidi="ar-SA"/>
        </w:rPr>
        <w:t>处理现场应设置安全标志及环境卫生设施设置标志。</w:t>
      </w:r>
    </w:p>
    <w:p w14:paraId="623961B7">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left="0" w:leftChars="0"/>
        <w:textAlignment w:val="auto"/>
        <w:rPr>
          <w:rFonts w:hint="eastAsia" w:ascii="Times New Roman" w:hAnsi="Times New Roman" w:eastAsia="仿宋_GB2312" w:cs="Times New Roman"/>
          <w:b w:val="0"/>
          <w:bCs w:val="0"/>
          <w:color w:val="auto"/>
          <w:kern w:val="2"/>
          <w:sz w:val="32"/>
          <w:szCs w:val="32"/>
          <w:highlight w:val="none"/>
          <w:u w:val="none"/>
          <w:lang w:val="en-US" w:eastAsia="zh-CN" w:bidi="ar-SA"/>
        </w:rPr>
      </w:pPr>
      <w:r>
        <w:rPr>
          <w:rFonts w:hint="default" w:ascii="Times New Roman" w:hAnsi="Times New Roman" w:eastAsia="仿宋_GB2312" w:cs="Times New Roman"/>
          <w:b w:val="0"/>
          <w:bCs w:val="0"/>
          <w:color w:val="auto"/>
          <w:kern w:val="2"/>
          <w:sz w:val="32"/>
          <w:szCs w:val="32"/>
          <w:highlight w:val="none"/>
          <w:u w:val="none"/>
          <w:lang w:val="en-US" w:eastAsia="zh-CN" w:bidi="ar-SA"/>
        </w:rPr>
        <w:t>6</w:t>
      </w:r>
      <w:r>
        <w:rPr>
          <w:rFonts w:hint="eastAsia" w:eastAsia="仿宋_GB2312" w:cs="Times New Roman"/>
          <w:b w:val="0"/>
          <w:bCs w:val="0"/>
          <w:color w:val="auto"/>
          <w:kern w:val="2"/>
          <w:sz w:val="32"/>
          <w:szCs w:val="32"/>
          <w:highlight w:val="none"/>
          <w:u w:val="none"/>
          <w:lang w:val="en-US" w:eastAsia="zh-CN" w:bidi="ar-SA"/>
        </w:rPr>
        <w:t>．</w:t>
      </w:r>
      <w:r>
        <w:rPr>
          <w:rFonts w:hint="eastAsia" w:ascii="Times New Roman" w:hAnsi="Times New Roman" w:eastAsia="仿宋_GB2312" w:cs="Times New Roman"/>
          <w:b w:val="0"/>
          <w:bCs w:val="0"/>
          <w:color w:val="auto"/>
          <w:kern w:val="2"/>
          <w:sz w:val="32"/>
          <w:szCs w:val="32"/>
          <w:highlight w:val="none"/>
          <w:u w:val="none"/>
          <w:lang w:val="en-US" w:eastAsia="zh-CN" w:bidi="ar-SA"/>
        </w:rPr>
        <w:t>建筑垃圾堆放、堆填、填埋处置高度和边坡应符合安全稳定要求。</w:t>
      </w:r>
    </w:p>
    <w:p w14:paraId="0EECB23E">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left="0" w:leftChars="0"/>
        <w:textAlignment w:val="auto"/>
        <w:rPr>
          <w:rFonts w:hint="eastAsia" w:ascii="Times New Roman" w:hAnsi="Times New Roman" w:eastAsia="仿宋_GB2312" w:cs="Times New Roman"/>
          <w:b w:val="0"/>
          <w:bCs w:val="0"/>
          <w:color w:val="auto"/>
          <w:kern w:val="2"/>
          <w:sz w:val="32"/>
          <w:szCs w:val="32"/>
          <w:highlight w:val="none"/>
          <w:u w:val="none"/>
          <w:lang w:val="en-US" w:eastAsia="zh-CN" w:bidi="ar-SA"/>
        </w:rPr>
      </w:pPr>
      <w:r>
        <w:rPr>
          <w:rFonts w:hint="default" w:ascii="Times New Roman" w:hAnsi="Times New Roman" w:eastAsia="仿宋_GB2312" w:cs="Times New Roman"/>
          <w:b w:val="0"/>
          <w:bCs w:val="0"/>
          <w:color w:val="auto"/>
          <w:kern w:val="2"/>
          <w:sz w:val="32"/>
          <w:szCs w:val="32"/>
          <w:highlight w:val="none"/>
          <w:u w:val="none"/>
          <w:lang w:val="en-US" w:eastAsia="zh-CN" w:bidi="ar-SA"/>
        </w:rPr>
        <w:t>7</w:t>
      </w:r>
      <w:r>
        <w:rPr>
          <w:rFonts w:hint="eastAsia" w:eastAsia="仿宋_GB2312" w:cs="Times New Roman"/>
          <w:b w:val="0"/>
          <w:bCs w:val="0"/>
          <w:color w:val="auto"/>
          <w:kern w:val="2"/>
          <w:sz w:val="32"/>
          <w:szCs w:val="32"/>
          <w:highlight w:val="none"/>
          <w:u w:val="none"/>
          <w:lang w:val="en-US" w:eastAsia="zh-CN" w:bidi="ar-SA"/>
        </w:rPr>
        <w:t>．</w:t>
      </w:r>
      <w:r>
        <w:rPr>
          <w:rFonts w:hint="eastAsia" w:ascii="Times New Roman" w:hAnsi="Times New Roman" w:eastAsia="仿宋_GB2312" w:cs="Times New Roman"/>
          <w:b w:val="0"/>
          <w:bCs w:val="0"/>
          <w:color w:val="auto"/>
          <w:kern w:val="2"/>
          <w:sz w:val="32"/>
          <w:szCs w:val="32"/>
          <w:highlight w:val="none"/>
          <w:u w:val="none"/>
          <w:lang w:val="en-US" w:eastAsia="zh-CN" w:bidi="ar-SA"/>
        </w:rPr>
        <w:t>建筑垃圾收集、运输、处理系统的环境保护与安全卫生除满足以上规定外，</w:t>
      </w:r>
      <w:r>
        <w:rPr>
          <w:rFonts w:hint="eastAsia" w:eastAsia="仿宋_GB2312" w:cs="Times New Roman"/>
          <w:b w:val="0"/>
          <w:bCs w:val="0"/>
          <w:color w:val="auto"/>
          <w:kern w:val="2"/>
          <w:sz w:val="32"/>
          <w:szCs w:val="32"/>
          <w:highlight w:val="none"/>
          <w:u w:val="none"/>
          <w:lang w:val="en-US" w:eastAsia="zh-CN" w:bidi="ar-SA"/>
        </w:rPr>
        <w:t>还</w:t>
      </w:r>
      <w:r>
        <w:rPr>
          <w:rFonts w:hint="eastAsia" w:ascii="Times New Roman" w:hAnsi="Times New Roman" w:eastAsia="仿宋_GB2312" w:cs="Times New Roman"/>
          <w:b w:val="0"/>
          <w:bCs w:val="0"/>
          <w:color w:val="auto"/>
          <w:kern w:val="2"/>
          <w:sz w:val="32"/>
          <w:szCs w:val="32"/>
          <w:highlight w:val="none"/>
          <w:u w:val="none"/>
          <w:lang w:val="en-US" w:eastAsia="zh-CN" w:bidi="ar-SA"/>
        </w:rPr>
        <w:t>应符合国家现行相关标准的规定。</w:t>
      </w:r>
    </w:p>
    <w:p w14:paraId="267C1A92">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left="0" w:leftChars="0"/>
        <w:textAlignment w:val="auto"/>
        <w:rPr>
          <w:rFonts w:hint="eastAsia" w:ascii="Times New Roman" w:hAnsi="Times New Roman" w:eastAsia="仿宋_GB2312" w:cs="Times New Roman"/>
          <w:b w:val="0"/>
          <w:bCs w:val="0"/>
          <w:color w:val="auto"/>
          <w:kern w:val="2"/>
          <w:sz w:val="32"/>
          <w:szCs w:val="32"/>
          <w:highlight w:val="none"/>
          <w:u w:val="none"/>
          <w:lang w:val="en-US" w:eastAsia="zh-CN" w:bidi="ar-SA"/>
        </w:rPr>
      </w:pPr>
      <w:r>
        <w:rPr>
          <w:rFonts w:hint="default" w:ascii="Times New Roman" w:hAnsi="Times New Roman" w:eastAsia="仿宋_GB2312" w:cs="Times New Roman"/>
          <w:b w:val="0"/>
          <w:bCs w:val="0"/>
          <w:color w:val="auto"/>
          <w:kern w:val="2"/>
          <w:sz w:val="32"/>
          <w:szCs w:val="32"/>
          <w:highlight w:val="none"/>
          <w:u w:val="none"/>
          <w:lang w:val="en-US" w:eastAsia="zh-CN" w:bidi="ar-SA"/>
        </w:rPr>
        <w:t>8</w:t>
      </w:r>
      <w:r>
        <w:rPr>
          <w:rFonts w:hint="eastAsia" w:eastAsia="仿宋_GB2312" w:cs="Times New Roman"/>
          <w:b w:val="0"/>
          <w:bCs w:val="0"/>
          <w:color w:val="auto"/>
          <w:kern w:val="2"/>
          <w:sz w:val="32"/>
          <w:szCs w:val="32"/>
          <w:highlight w:val="none"/>
          <w:u w:val="none"/>
          <w:lang w:val="en-US" w:eastAsia="zh-CN" w:bidi="ar-SA"/>
        </w:rPr>
        <w:t>．</w:t>
      </w:r>
      <w:r>
        <w:rPr>
          <w:rFonts w:hint="eastAsia" w:ascii="Times New Roman" w:hAnsi="Times New Roman" w:eastAsia="仿宋_GB2312" w:cs="Times New Roman"/>
          <w:b w:val="0"/>
          <w:bCs w:val="0"/>
          <w:color w:val="auto"/>
          <w:kern w:val="2"/>
          <w:sz w:val="32"/>
          <w:szCs w:val="32"/>
          <w:highlight w:val="none"/>
          <w:u w:val="none"/>
          <w:lang w:val="en-US" w:eastAsia="zh-CN" w:bidi="ar-SA"/>
        </w:rPr>
        <w:t>建筑垃圾处理工程现场的劳动卫生应按现行国家标准《工业企业设计卫生标准》</w:t>
      </w:r>
      <w:r>
        <w:rPr>
          <w:rFonts w:hint="eastAsia" w:eastAsia="仿宋_GB2312" w:cs="Times New Roman"/>
          <w:b w:val="0"/>
          <w:bCs w:val="0"/>
          <w:color w:val="auto"/>
          <w:kern w:val="2"/>
          <w:sz w:val="32"/>
          <w:szCs w:val="32"/>
          <w:highlight w:val="none"/>
          <w:u w:val="none"/>
          <w:lang w:val="en-US" w:eastAsia="zh-CN" w:bidi="ar-SA"/>
        </w:rPr>
        <w:t>（</w:t>
      </w:r>
      <w:r>
        <w:rPr>
          <w:rFonts w:hint="eastAsia" w:ascii="Times New Roman" w:hAnsi="Times New Roman" w:eastAsia="仿宋_GB2312" w:cs="Times New Roman"/>
          <w:b w:val="0"/>
          <w:bCs w:val="0"/>
          <w:color w:val="auto"/>
          <w:kern w:val="2"/>
          <w:sz w:val="32"/>
          <w:szCs w:val="32"/>
          <w:highlight w:val="none"/>
          <w:u w:val="none"/>
          <w:lang w:val="en-US" w:eastAsia="zh-CN" w:bidi="ar-SA"/>
        </w:rPr>
        <w:t>GBZ</w:t>
      </w:r>
      <w:r>
        <w:rPr>
          <w:rFonts w:hint="default" w:ascii="Times New Roman" w:hAnsi="Times New Roman" w:eastAsia="仿宋_GB2312" w:cs="Times New Roman"/>
          <w:b w:val="0"/>
          <w:bCs w:val="0"/>
          <w:color w:val="auto"/>
          <w:kern w:val="2"/>
          <w:sz w:val="32"/>
          <w:szCs w:val="32"/>
          <w:highlight w:val="none"/>
          <w:u w:val="none"/>
          <w:lang w:val="en-US" w:eastAsia="zh-CN" w:bidi="ar-SA"/>
        </w:rPr>
        <w:t>1</w:t>
      </w:r>
      <w:r>
        <w:rPr>
          <w:rFonts w:hint="eastAsia" w:eastAsia="仿宋_GB2312" w:cs="Times New Roman"/>
          <w:b w:val="0"/>
          <w:bCs w:val="0"/>
          <w:color w:val="auto"/>
          <w:spacing w:val="6"/>
          <w:kern w:val="2"/>
          <w:sz w:val="32"/>
          <w:szCs w:val="32"/>
          <w:highlight w:val="none"/>
          <w:u w:val="none"/>
          <w:lang w:val="en-US" w:eastAsia="zh-CN" w:bidi="ar-SA"/>
        </w:rPr>
        <w:t>—</w:t>
      </w:r>
      <w:r>
        <w:rPr>
          <w:rFonts w:hint="default" w:ascii="Times New Roman" w:hAnsi="Times New Roman" w:eastAsia="仿宋_GB2312" w:cs="Times New Roman"/>
          <w:b w:val="0"/>
          <w:bCs w:val="0"/>
          <w:color w:val="auto"/>
          <w:kern w:val="2"/>
          <w:sz w:val="32"/>
          <w:szCs w:val="32"/>
          <w:highlight w:val="none"/>
          <w:u w:val="none"/>
          <w:lang w:val="en-US" w:eastAsia="zh-CN" w:bidi="ar-SA"/>
        </w:rPr>
        <w:t>2010</w:t>
      </w:r>
      <w:r>
        <w:rPr>
          <w:rFonts w:hint="eastAsia" w:eastAsia="仿宋_GB2312" w:cs="Times New Roman"/>
          <w:b w:val="0"/>
          <w:bCs w:val="0"/>
          <w:color w:val="auto"/>
          <w:kern w:val="2"/>
          <w:sz w:val="32"/>
          <w:szCs w:val="32"/>
          <w:highlight w:val="none"/>
          <w:u w:val="none"/>
          <w:lang w:val="en-US" w:eastAsia="zh-CN" w:bidi="ar-SA"/>
        </w:rPr>
        <w:t>）</w:t>
      </w:r>
      <w:r>
        <w:rPr>
          <w:rFonts w:hint="eastAsia" w:ascii="Times New Roman" w:hAnsi="Times New Roman" w:eastAsia="仿宋_GB2312" w:cs="Times New Roman"/>
          <w:b w:val="0"/>
          <w:bCs w:val="0"/>
          <w:color w:val="auto"/>
          <w:kern w:val="2"/>
          <w:sz w:val="32"/>
          <w:szCs w:val="32"/>
          <w:highlight w:val="none"/>
          <w:u w:val="none"/>
          <w:lang w:val="en-US" w:eastAsia="zh-CN" w:bidi="ar-SA"/>
        </w:rPr>
        <w:t>、《生产过程安全</w:t>
      </w:r>
      <w:r>
        <w:rPr>
          <w:rFonts w:hint="eastAsia" w:ascii="Times New Roman" w:hAnsi="Times New Roman" w:eastAsia="仿宋_GB2312" w:cs="Times New Roman"/>
          <w:b w:val="0"/>
          <w:bCs w:val="0"/>
          <w:color w:val="auto"/>
          <w:spacing w:val="-6"/>
          <w:kern w:val="2"/>
          <w:sz w:val="32"/>
          <w:szCs w:val="32"/>
          <w:highlight w:val="none"/>
          <w:u w:val="none"/>
          <w:lang w:val="en-US" w:eastAsia="zh-CN" w:bidi="ar-SA"/>
        </w:rPr>
        <w:t>卫生要求总则》</w:t>
      </w:r>
      <w:r>
        <w:rPr>
          <w:rFonts w:hint="eastAsia" w:eastAsia="仿宋_GB2312" w:cs="Times New Roman"/>
          <w:b w:val="0"/>
          <w:bCs w:val="0"/>
          <w:color w:val="auto"/>
          <w:spacing w:val="-6"/>
          <w:kern w:val="2"/>
          <w:sz w:val="32"/>
          <w:szCs w:val="32"/>
          <w:highlight w:val="none"/>
          <w:u w:val="none"/>
          <w:lang w:val="en-US" w:eastAsia="zh-CN" w:bidi="ar-SA"/>
        </w:rPr>
        <w:t>（</w:t>
      </w:r>
      <w:r>
        <w:rPr>
          <w:rFonts w:hint="eastAsia" w:ascii="Times New Roman" w:hAnsi="Times New Roman" w:eastAsia="仿宋_GB2312" w:cs="Times New Roman"/>
          <w:b w:val="0"/>
          <w:bCs w:val="0"/>
          <w:color w:val="auto"/>
          <w:spacing w:val="-6"/>
          <w:kern w:val="2"/>
          <w:sz w:val="32"/>
          <w:szCs w:val="32"/>
          <w:highlight w:val="none"/>
          <w:u w:val="none"/>
          <w:lang w:val="en-US" w:eastAsia="zh-CN" w:bidi="ar-SA"/>
        </w:rPr>
        <w:t>GB/T</w:t>
      </w:r>
      <w:r>
        <w:rPr>
          <w:rFonts w:hint="default" w:ascii="Times New Roman" w:hAnsi="Times New Roman" w:eastAsia="仿宋_GB2312" w:cs="Times New Roman"/>
          <w:b w:val="0"/>
          <w:bCs w:val="0"/>
          <w:color w:val="auto"/>
          <w:spacing w:val="-6"/>
          <w:kern w:val="2"/>
          <w:sz w:val="32"/>
          <w:szCs w:val="32"/>
          <w:highlight w:val="none"/>
          <w:u w:val="none"/>
          <w:lang w:val="en-US" w:eastAsia="zh-CN" w:bidi="ar-SA"/>
        </w:rPr>
        <w:t>12801</w:t>
      </w:r>
      <w:r>
        <w:rPr>
          <w:rFonts w:hint="eastAsia" w:eastAsia="仿宋_GB2312" w:cs="Times New Roman"/>
          <w:b w:val="0"/>
          <w:bCs w:val="0"/>
          <w:color w:val="auto"/>
          <w:spacing w:val="-6"/>
          <w:kern w:val="2"/>
          <w:sz w:val="32"/>
          <w:szCs w:val="32"/>
          <w:highlight w:val="none"/>
          <w:u w:val="none"/>
          <w:lang w:val="en-US" w:eastAsia="zh-CN" w:bidi="ar-SA"/>
        </w:rPr>
        <w:t>—</w:t>
      </w:r>
      <w:r>
        <w:rPr>
          <w:rFonts w:hint="default" w:ascii="Times New Roman" w:hAnsi="Times New Roman" w:eastAsia="仿宋_GB2312" w:cs="Times New Roman"/>
          <w:b w:val="0"/>
          <w:bCs w:val="0"/>
          <w:color w:val="auto"/>
          <w:spacing w:val="-6"/>
          <w:kern w:val="2"/>
          <w:sz w:val="32"/>
          <w:szCs w:val="32"/>
          <w:highlight w:val="none"/>
          <w:u w:val="none"/>
          <w:lang w:val="en-US" w:eastAsia="zh-CN" w:bidi="ar-SA"/>
        </w:rPr>
        <w:t>2008</w:t>
      </w:r>
      <w:r>
        <w:rPr>
          <w:rFonts w:hint="eastAsia" w:eastAsia="仿宋_GB2312" w:cs="Times New Roman"/>
          <w:b w:val="0"/>
          <w:bCs w:val="0"/>
          <w:color w:val="auto"/>
          <w:spacing w:val="-6"/>
          <w:kern w:val="2"/>
          <w:sz w:val="32"/>
          <w:szCs w:val="32"/>
          <w:highlight w:val="none"/>
          <w:u w:val="none"/>
          <w:lang w:val="en-US" w:eastAsia="zh-CN" w:bidi="ar-SA"/>
        </w:rPr>
        <w:t>）</w:t>
      </w:r>
      <w:r>
        <w:rPr>
          <w:rFonts w:hint="eastAsia" w:ascii="Times New Roman" w:hAnsi="Times New Roman" w:eastAsia="仿宋_GB2312" w:cs="Times New Roman"/>
          <w:b w:val="0"/>
          <w:bCs w:val="0"/>
          <w:color w:val="auto"/>
          <w:spacing w:val="-6"/>
          <w:kern w:val="2"/>
          <w:sz w:val="32"/>
          <w:szCs w:val="32"/>
          <w:highlight w:val="none"/>
          <w:u w:val="none"/>
          <w:lang w:val="en-US" w:eastAsia="zh-CN" w:bidi="ar-SA"/>
        </w:rPr>
        <w:t>的有关规定执行，并应结合</w:t>
      </w:r>
      <w:r>
        <w:rPr>
          <w:rFonts w:hint="eastAsia" w:ascii="Times New Roman" w:hAnsi="Times New Roman" w:eastAsia="仿宋_GB2312" w:cs="Times New Roman"/>
          <w:b w:val="0"/>
          <w:bCs w:val="0"/>
          <w:color w:val="auto"/>
          <w:spacing w:val="0"/>
          <w:kern w:val="2"/>
          <w:sz w:val="32"/>
          <w:szCs w:val="32"/>
          <w:highlight w:val="none"/>
          <w:u w:val="none"/>
          <w:lang w:val="en-US" w:eastAsia="zh-CN" w:bidi="ar-SA"/>
        </w:rPr>
        <w:t>作业特点采取有利于职业病防治和保护作业人员健康的措施。</w:t>
      </w:r>
    </w:p>
    <w:p w14:paraId="3BB4CBDD">
      <w:pPr>
        <w:pageBreakBefore w:val="0"/>
        <w:kinsoku/>
        <w:wordWrap/>
        <w:topLinePunct w:val="0"/>
        <w:bidi w:val="0"/>
        <w:spacing w:beforeAutospacing="0" w:afterAutospacing="0" w:line="560" w:lineRule="exact"/>
        <w:ind w:left="0" w:leftChars="0"/>
        <w:rPr>
          <w:rFonts w:hint="eastAsia" w:ascii="Times New Roman" w:hAnsi="Times New Roman" w:eastAsia="仿宋_GB2312" w:cs="Times New Roman"/>
          <w:b w:val="0"/>
          <w:bCs w:val="0"/>
          <w:color w:val="auto"/>
          <w:kern w:val="2"/>
          <w:sz w:val="32"/>
          <w:szCs w:val="32"/>
          <w:highlight w:val="none"/>
          <w:u w:val="none"/>
          <w:lang w:val="en-US" w:eastAsia="zh-CN" w:bidi="ar-SA"/>
        </w:rPr>
      </w:pPr>
      <w:r>
        <w:rPr>
          <w:rFonts w:hint="eastAsia" w:ascii="Times New Roman" w:hAnsi="Times New Roman" w:eastAsia="仿宋_GB2312" w:cs="Times New Roman"/>
          <w:b w:val="0"/>
          <w:bCs w:val="0"/>
          <w:color w:val="auto"/>
          <w:kern w:val="2"/>
          <w:sz w:val="32"/>
          <w:szCs w:val="32"/>
          <w:highlight w:val="none"/>
          <w:u w:val="none"/>
          <w:lang w:val="en-US" w:eastAsia="zh-CN" w:bidi="ar-SA"/>
        </w:rPr>
        <w:br w:type="page"/>
      </w:r>
    </w:p>
    <w:p w14:paraId="64480B95">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leftChars="0"/>
        <w:textAlignment w:val="auto"/>
        <w:outlineLvl w:val="0"/>
        <w:rPr>
          <w:rFonts w:hint="eastAsia" w:ascii="黑体" w:hAnsi="黑体" w:eastAsia="黑体" w:cs="黑体"/>
          <w:b w:val="0"/>
          <w:bCs w:val="0"/>
          <w:color w:val="auto"/>
          <w:kern w:val="2"/>
          <w:sz w:val="32"/>
          <w:szCs w:val="32"/>
          <w:highlight w:val="none"/>
          <w:u w:val="none"/>
          <w:lang w:val="en-US" w:eastAsia="zh-CN" w:bidi="ar-SA"/>
        </w:rPr>
      </w:pPr>
      <w:bookmarkStart w:id="143" w:name="_Toc14178"/>
      <w:r>
        <w:rPr>
          <w:rFonts w:hint="eastAsia" w:ascii="黑体" w:hAnsi="黑体" w:eastAsia="黑体" w:cs="黑体"/>
          <w:b w:val="0"/>
          <w:bCs w:val="0"/>
          <w:color w:val="auto"/>
          <w:kern w:val="2"/>
          <w:sz w:val="32"/>
          <w:szCs w:val="32"/>
          <w:highlight w:val="none"/>
          <w:u w:val="none"/>
          <w:lang w:val="en-US" w:eastAsia="zh-CN" w:bidi="ar-SA"/>
        </w:rPr>
        <w:t>十二、近期规划实施计划</w:t>
      </w:r>
      <w:bookmarkEnd w:id="121"/>
      <w:bookmarkEnd w:id="143"/>
    </w:p>
    <w:p w14:paraId="4972A9DB">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leftChars="0"/>
        <w:textAlignment w:val="auto"/>
        <w:outlineLvl w:val="1"/>
        <w:rPr>
          <w:rFonts w:hint="eastAsia" w:ascii="楷体_GB2312" w:hAnsi="楷体_GB2312" w:eastAsia="楷体_GB2312" w:cs="楷体_GB2312"/>
          <w:b w:val="0"/>
          <w:bCs w:val="0"/>
          <w:color w:val="auto"/>
          <w:kern w:val="2"/>
          <w:sz w:val="32"/>
          <w:szCs w:val="32"/>
          <w:highlight w:val="none"/>
          <w:u w:val="none"/>
          <w:lang w:val="en-US" w:eastAsia="zh-CN" w:bidi="ar-SA"/>
        </w:rPr>
      </w:pPr>
      <w:bookmarkStart w:id="144" w:name="_Toc1845"/>
      <w:bookmarkStart w:id="145" w:name="_Toc17230"/>
      <w:r>
        <w:rPr>
          <w:rFonts w:hint="eastAsia" w:ascii="楷体_GB2312" w:hAnsi="楷体_GB2312" w:eastAsia="楷体_GB2312" w:cs="楷体_GB2312"/>
          <w:b w:val="0"/>
          <w:bCs w:val="0"/>
          <w:color w:val="auto"/>
          <w:kern w:val="2"/>
          <w:sz w:val="32"/>
          <w:szCs w:val="32"/>
          <w:highlight w:val="none"/>
          <w:u w:val="none"/>
          <w:lang w:val="en-US" w:eastAsia="zh-CN" w:bidi="ar-SA"/>
        </w:rPr>
        <w:t>（一）近期工作规划</w:t>
      </w:r>
      <w:bookmarkEnd w:id="144"/>
      <w:bookmarkEnd w:id="145"/>
    </w:p>
    <w:p w14:paraId="2EBC69EC">
      <w:pPr>
        <w:pageBreakBefore w:val="0"/>
        <w:kinsoku/>
        <w:wordWrap/>
        <w:topLinePunct w:val="0"/>
        <w:bidi w:val="0"/>
        <w:spacing w:beforeAutospacing="0" w:afterAutospacing="0" w:line="560" w:lineRule="exact"/>
        <w:ind w:left="0" w:leftChars="0"/>
        <w:rPr>
          <w:rFonts w:hint="eastAsia" w:ascii="Times New Roman" w:hAnsi="Times New Roman" w:eastAsia="仿宋_GB2312" w:cs="Times New Roman"/>
          <w:b w:val="0"/>
          <w:bCs w:val="0"/>
          <w:color w:val="auto"/>
          <w:kern w:val="2"/>
          <w:sz w:val="32"/>
          <w:szCs w:val="32"/>
          <w:highlight w:val="none"/>
          <w:u w:val="none"/>
          <w:lang w:val="en-US" w:eastAsia="zh-CN" w:bidi="ar-SA"/>
        </w:rPr>
      </w:pPr>
      <w:r>
        <w:rPr>
          <w:rFonts w:hint="eastAsia" w:ascii="Times New Roman" w:hAnsi="Times New Roman" w:eastAsia="仿宋_GB2312" w:cs="Times New Roman"/>
          <w:b w:val="0"/>
          <w:bCs w:val="0"/>
          <w:color w:val="auto"/>
          <w:kern w:val="2"/>
          <w:sz w:val="32"/>
          <w:szCs w:val="32"/>
          <w:highlight w:val="none"/>
          <w:u w:val="none"/>
          <w:lang w:val="en-US" w:eastAsia="zh-CN" w:bidi="ar-SA"/>
        </w:rPr>
        <w:t>规划近期重点对未按审批路线运输建筑垃圾、未在指定处理设施消纳处理建筑垃圾等行为依法处理；对未经审批的建筑垃圾堆放点予以取缔、查处，对当事人的行为依法处理，消除安全隐患后依法对场地进行平整、复绿。</w:t>
      </w:r>
    </w:p>
    <w:p w14:paraId="168B47DE">
      <w:pPr>
        <w:pageBreakBefore w:val="0"/>
        <w:kinsoku/>
        <w:wordWrap/>
        <w:topLinePunct w:val="0"/>
        <w:bidi w:val="0"/>
        <w:spacing w:beforeAutospacing="0" w:afterAutospacing="0" w:line="560" w:lineRule="exact"/>
        <w:ind w:left="0" w:leftChars="0"/>
        <w:rPr>
          <w:rFonts w:hint="eastAsia" w:ascii="Times New Roman" w:hAnsi="Times New Roman" w:eastAsia="仿宋_GB2312" w:cs="Times New Roman"/>
          <w:b w:val="0"/>
          <w:bCs w:val="0"/>
          <w:color w:val="auto"/>
          <w:kern w:val="2"/>
          <w:sz w:val="32"/>
          <w:szCs w:val="32"/>
          <w:highlight w:val="none"/>
          <w:u w:val="none"/>
          <w:lang w:val="en-US" w:eastAsia="zh-CN" w:bidi="ar-SA"/>
        </w:rPr>
      </w:pPr>
      <w:r>
        <w:rPr>
          <w:rFonts w:hint="eastAsia" w:ascii="Times New Roman" w:hAnsi="Times New Roman" w:eastAsia="仿宋_GB2312" w:cs="Times New Roman"/>
          <w:b w:val="0"/>
          <w:bCs w:val="0"/>
          <w:color w:val="auto"/>
          <w:kern w:val="2"/>
          <w:sz w:val="32"/>
          <w:szCs w:val="32"/>
          <w:highlight w:val="none"/>
          <w:u w:val="none"/>
          <w:lang w:val="en-US" w:eastAsia="zh-CN" w:bidi="ar-SA"/>
        </w:rPr>
        <w:t>规划近期重点提升建筑垃圾收运率、建筑垃圾规范化运输率和建筑垃圾分类收集率。加快推进建筑垃圾消纳场的新建工作，增强建筑垃圾处理处置能力。推动建筑垃圾治理及资源化利用产业化发展。运用信息化手段推进建筑垃圾源头减量，促进建筑垃圾就近利用、直接利用，提高建筑垃圾的综合利用和资源集约节约。</w:t>
      </w:r>
    </w:p>
    <w:p w14:paraId="0A4C3750">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leftChars="0"/>
        <w:textAlignment w:val="auto"/>
        <w:outlineLvl w:val="1"/>
        <w:rPr>
          <w:rFonts w:hint="eastAsia" w:ascii="楷体_GB2312" w:hAnsi="楷体_GB2312" w:eastAsia="楷体_GB2312" w:cs="楷体_GB2312"/>
          <w:b w:val="0"/>
          <w:bCs w:val="0"/>
          <w:color w:val="auto"/>
          <w:kern w:val="2"/>
          <w:sz w:val="32"/>
          <w:szCs w:val="32"/>
          <w:highlight w:val="none"/>
          <w:u w:val="none"/>
          <w:lang w:val="en-US" w:eastAsia="zh-CN" w:bidi="ar-SA"/>
        </w:rPr>
      </w:pPr>
      <w:bookmarkStart w:id="146" w:name="_Toc28037"/>
      <w:bookmarkStart w:id="147" w:name="_Toc1311"/>
      <w:r>
        <w:rPr>
          <w:rFonts w:hint="eastAsia" w:ascii="楷体_GB2312" w:hAnsi="楷体_GB2312" w:eastAsia="楷体_GB2312" w:cs="楷体_GB2312"/>
          <w:b w:val="0"/>
          <w:bCs w:val="0"/>
          <w:color w:val="auto"/>
          <w:kern w:val="2"/>
          <w:sz w:val="32"/>
          <w:szCs w:val="32"/>
          <w:highlight w:val="none"/>
          <w:u w:val="none"/>
          <w:lang w:val="en-US" w:eastAsia="zh-CN" w:bidi="ar-SA"/>
        </w:rPr>
        <w:t>（二）近期项目规划</w:t>
      </w:r>
      <w:bookmarkEnd w:id="146"/>
      <w:bookmarkEnd w:id="147"/>
    </w:p>
    <w:p w14:paraId="79646406">
      <w:pPr>
        <w:pageBreakBefore w:val="0"/>
        <w:kinsoku/>
        <w:wordWrap/>
        <w:topLinePunct w:val="0"/>
        <w:bidi w:val="0"/>
        <w:spacing w:beforeAutospacing="0" w:afterAutospacing="0" w:line="560" w:lineRule="exact"/>
        <w:ind w:left="0" w:leftChars="0"/>
        <w:rPr>
          <w:rFonts w:hint="eastAsia" w:ascii="Times New Roman" w:hAnsi="Times New Roman" w:eastAsia="仿宋_GB2312" w:cs="Times New Roman"/>
          <w:b w:val="0"/>
          <w:bCs w:val="0"/>
          <w:color w:val="auto"/>
          <w:kern w:val="2"/>
          <w:sz w:val="32"/>
          <w:szCs w:val="32"/>
          <w:highlight w:val="none"/>
          <w:u w:val="none"/>
          <w:lang w:val="en-US" w:eastAsia="zh-CN" w:bidi="ar-SA"/>
        </w:rPr>
      </w:pPr>
      <w:r>
        <w:rPr>
          <w:rFonts w:hint="eastAsia" w:ascii="Times New Roman" w:hAnsi="Times New Roman" w:eastAsia="仿宋_GB2312" w:cs="Times New Roman"/>
          <w:b w:val="0"/>
          <w:bCs w:val="0"/>
          <w:color w:val="auto"/>
          <w:kern w:val="2"/>
          <w:sz w:val="32"/>
          <w:szCs w:val="32"/>
          <w:highlight w:val="none"/>
          <w:u w:val="none"/>
          <w:lang w:val="en-US" w:eastAsia="zh-CN" w:bidi="ar-SA"/>
        </w:rPr>
        <w:t>融安县近期规划项目主要是加快建设融安县建筑垃圾消纳场项目，配置完善前端收集设置，建设升级信息化管理系统。</w:t>
      </w:r>
    </w:p>
    <w:p w14:paraId="63119DFD">
      <w:pPr>
        <w:pageBreakBefore w:val="0"/>
        <w:kinsoku/>
        <w:wordWrap/>
        <w:topLinePunct w:val="0"/>
        <w:bidi w:val="0"/>
        <w:spacing w:beforeAutospacing="0" w:afterAutospacing="0" w:line="560" w:lineRule="exact"/>
        <w:ind w:left="0" w:leftChars="0" w:firstLine="0" w:firstLineChars="0"/>
        <w:jc w:val="center"/>
        <w:rPr>
          <w:rFonts w:hint="eastAsia" w:ascii="Times New Roman" w:hAnsi="Times New Roman" w:eastAsia="仿宋_GB2312" w:cs="Times New Roman"/>
          <w:b w:val="0"/>
          <w:bCs w:val="0"/>
          <w:color w:val="auto"/>
          <w:kern w:val="2"/>
          <w:sz w:val="32"/>
          <w:szCs w:val="32"/>
          <w:highlight w:val="none"/>
          <w:u w:val="none"/>
          <w:lang w:val="en-US" w:eastAsia="zh-CN" w:bidi="ar-SA"/>
        </w:rPr>
      </w:pPr>
    </w:p>
    <w:p w14:paraId="18E5C2B7">
      <w:pPr>
        <w:pageBreakBefore w:val="0"/>
        <w:kinsoku/>
        <w:wordWrap/>
        <w:topLinePunct w:val="0"/>
        <w:bidi w:val="0"/>
        <w:spacing w:beforeAutospacing="0" w:afterAutospacing="0" w:line="560" w:lineRule="exact"/>
        <w:ind w:left="0" w:leftChars="0" w:firstLine="0" w:firstLineChars="0"/>
        <w:jc w:val="center"/>
        <w:rPr>
          <w:rFonts w:hint="eastAsia" w:ascii="Times New Roman" w:hAnsi="Times New Roman" w:eastAsia="仿宋_GB2312" w:cs="Times New Roman"/>
          <w:b w:val="0"/>
          <w:bCs w:val="0"/>
          <w:color w:val="auto"/>
          <w:kern w:val="2"/>
          <w:sz w:val="32"/>
          <w:szCs w:val="32"/>
          <w:highlight w:val="none"/>
          <w:u w:val="none"/>
          <w:lang w:val="en-US" w:eastAsia="zh-CN" w:bidi="ar-SA"/>
        </w:rPr>
      </w:pPr>
      <w:r>
        <w:rPr>
          <w:rFonts w:hint="eastAsia" w:ascii="Times New Roman" w:hAnsi="Times New Roman" w:eastAsia="仿宋_GB2312" w:cs="Times New Roman"/>
          <w:b w:val="0"/>
          <w:bCs w:val="0"/>
          <w:color w:val="auto"/>
          <w:kern w:val="2"/>
          <w:sz w:val="32"/>
          <w:szCs w:val="32"/>
          <w:highlight w:val="none"/>
          <w:u w:val="none"/>
          <w:lang w:val="en-US" w:eastAsia="zh-CN" w:bidi="ar-SA"/>
        </w:rPr>
        <w:t>表：融安县近期重点建设项目统计表</w:t>
      </w:r>
    </w:p>
    <w:tbl>
      <w:tblPr>
        <w:tblStyle w:val="16"/>
        <w:tblW w:w="9136" w:type="dxa"/>
        <w:jc w:val="center"/>
        <w:tblLayout w:type="fixed"/>
        <w:tblCellMar>
          <w:top w:w="0" w:type="dxa"/>
          <w:left w:w="57" w:type="dxa"/>
          <w:bottom w:w="0" w:type="dxa"/>
          <w:right w:w="57" w:type="dxa"/>
        </w:tblCellMar>
      </w:tblPr>
      <w:tblGrid>
        <w:gridCol w:w="556"/>
        <w:gridCol w:w="615"/>
        <w:gridCol w:w="1380"/>
        <w:gridCol w:w="3569"/>
        <w:gridCol w:w="1897"/>
        <w:gridCol w:w="1119"/>
      </w:tblGrid>
      <w:tr w14:paraId="11C9CEA7">
        <w:tblPrEx>
          <w:tblCellMar>
            <w:top w:w="0" w:type="dxa"/>
            <w:left w:w="57" w:type="dxa"/>
            <w:bottom w:w="0" w:type="dxa"/>
            <w:right w:w="57" w:type="dxa"/>
          </w:tblCellMar>
        </w:tblPrEx>
        <w:trPr>
          <w:trHeight w:val="771" w:hRule="exact"/>
          <w:tblHeader/>
          <w:jc w:val="center"/>
        </w:trPr>
        <w:tc>
          <w:tcPr>
            <w:tcW w:w="556" w:type="dxa"/>
            <w:tcBorders>
              <w:top w:val="single" w:color="000000" w:sz="4" w:space="0"/>
              <w:left w:val="single" w:color="000000" w:sz="4" w:space="0"/>
              <w:bottom w:val="single" w:color="000000" w:sz="4" w:space="0"/>
              <w:right w:val="single" w:color="000000" w:sz="4" w:space="0"/>
            </w:tcBorders>
            <w:vAlign w:val="center"/>
          </w:tcPr>
          <w:p w14:paraId="249C1107">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黑体" w:hAnsi="黑体" w:eastAsia="黑体" w:cs="黑体"/>
                <w:color w:val="auto"/>
                <w:sz w:val="24"/>
                <w:szCs w:val="24"/>
                <w:highlight w:val="none"/>
                <w:u w:val="none"/>
                <w:vertAlign w:val="baseline"/>
                <w:lang w:val="en-US" w:eastAsia="zh-CN"/>
              </w:rPr>
            </w:pPr>
            <w:bookmarkStart w:id="148" w:name="_Toc20784"/>
            <w:r>
              <w:rPr>
                <w:rFonts w:hint="eastAsia" w:ascii="黑体" w:hAnsi="黑体" w:eastAsia="黑体" w:cs="黑体"/>
                <w:color w:val="auto"/>
                <w:sz w:val="24"/>
                <w:szCs w:val="24"/>
                <w:highlight w:val="none"/>
                <w:u w:val="none"/>
                <w:vertAlign w:val="baseline"/>
                <w:lang w:val="en-US" w:eastAsia="zh-CN"/>
              </w:rPr>
              <w:t>序号</w:t>
            </w:r>
          </w:p>
        </w:tc>
        <w:tc>
          <w:tcPr>
            <w:tcW w:w="1995" w:type="dxa"/>
            <w:gridSpan w:val="2"/>
            <w:tcBorders>
              <w:top w:val="single" w:color="000000" w:sz="4" w:space="0"/>
              <w:left w:val="single" w:color="000000" w:sz="4" w:space="0"/>
              <w:bottom w:val="single" w:color="000000" w:sz="4" w:space="0"/>
              <w:right w:val="single" w:color="000000" w:sz="4" w:space="0"/>
            </w:tcBorders>
            <w:vAlign w:val="center"/>
          </w:tcPr>
          <w:p w14:paraId="211BC4E8">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黑体" w:hAnsi="黑体" w:eastAsia="黑体" w:cs="黑体"/>
                <w:color w:val="auto"/>
                <w:sz w:val="24"/>
                <w:szCs w:val="24"/>
                <w:highlight w:val="none"/>
                <w:u w:val="none"/>
                <w:vertAlign w:val="baseline"/>
                <w:lang w:val="en-US" w:eastAsia="zh-CN"/>
              </w:rPr>
            </w:pPr>
            <w:r>
              <w:rPr>
                <w:rFonts w:hint="eastAsia" w:ascii="黑体" w:hAnsi="黑体" w:eastAsia="黑体" w:cs="黑体"/>
                <w:color w:val="auto"/>
                <w:sz w:val="24"/>
                <w:szCs w:val="24"/>
                <w:highlight w:val="none"/>
                <w:u w:val="none"/>
                <w:vertAlign w:val="baseline"/>
                <w:lang w:val="en-US" w:eastAsia="zh-CN"/>
              </w:rPr>
              <w:t>设施</w:t>
            </w:r>
          </w:p>
        </w:tc>
        <w:tc>
          <w:tcPr>
            <w:tcW w:w="3569" w:type="dxa"/>
            <w:tcBorders>
              <w:top w:val="single" w:color="000000" w:sz="4" w:space="0"/>
              <w:left w:val="single" w:color="000000" w:sz="4" w:space="0"/>
              <w:bottom w:val="single" w:color="000000" w:sz="4" w:space="0"/>
              <w:right w:val="single" w:color="000000" w:sz="4" w:space="0"/>
            </w:tcBorders>
            <w:vAlign w:val="center"/>
          </w:tcPr>
          <w:p w14:paraId="6FE4961D">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黑体" w:hAnsi="黑体" w:eastAsia="黑体" w:cs="黑体"/>
                <w:color w:val="auto"/>
                <w:sz w:val="24"/>
                <w:szCs w:val="24"/>
                <w:highlight w:val="none"/>
                <w:u w:val="none"/>
                <w:vertAlign w:val="baseline"/>
                <w:lang w:val="en-US" w:eastAsia="zh-CN"/>
              </w:rPr>
            </w:pPr>
            <w:r>
              <w:rPr>
                <w:rFonts w:hint="eastAsia" w:ascii="黑体" w:hAnsi="黑体" w:eastAsia="黑体" w:cs="黑体"/>
                <w:color w:val="auto"/>
                <w:sz w:val="24"/>
                <w:szCs w:val="24"/>
                <w:highlight w:val="none"/>
                <w:u w:val="none"/>
                <w:vertAlign w:val="baseline"/>
                <w:lang w:val="en-US" w:eastAsia="zh-CN"/>
              </w:rPr>
              <w:t>规划内容</w:t>
            </w:r>
          </w:p>
        </w:tc>
        <w:tc>
          <w:tcPr>
            <w:tcW w:w="1897" w:type="dxa"/>
            <w:tcBorders>
              <w:top w:val="single" w:color="000000" w:sz="4" w:space="0"/>
              <w:left w:val="single" w:color="000000" w:sz="4" w:space="0"/>
              <w:bottom w:val="single" w:color="000000" w:sz="4" w:space="0"/>
              <w:right w:val="single" w:color="000000" w:sz="4" w:space="0"/>
            </w:tcBorders>
            <w:vAlign w:val="center"/>
          </w:tcPr>
          <w:p w14:paraId="5C4FD501">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黑体" w:hAnsi="黑体" w:eastAsia="黑体" w:cs="黑体"/>
                <w:color w:val="auto"/>
                <w:sz w:val="24"/>
                <w:szCs w:val="24"/>
                <w:highlight w:val="none"/>
                <w:u w:val="none"/>
                <w:vertAlign w:val="baseline"/>
              </w:rPr>
            </w:pPr>
            <w:r>
              <w:rPr>
                <w:rFonts w:hint="eastAsia" w:ascii="黑体" w:hAnsi="黑体" w:eastAsia="黑体" w:cs="黑体"/>
                <w:color w:val="auto"/>
                <w:sz w:val="24"/>
                <w:szCs w:val="24"/>
                <w:highlight w:val="none"/>
                <w:u w:val="none"/>
                <w:vertAlign w:val="baseline"/>
              </w:rPr>
              <w:t>建设时序</w:t>
            </w:r>
          </w:p>
        </w:tc>
        <w:tc>
          <w:tcPr>
            <w:tcW w:w="1119" w:type="dxa"/>
            <w:tcBorders>
              <w:top w:val="single" w:color="000000" w:sz="4" w:space="0"/>
              <w:left w:val="single" w:color="000000" w:sz="4" w:space="0"/>
              <w:bottom w:val="single" w:color="000000" w:sz="4" w:space="0"/>
              <w:right w:val="single" w:color="000000" w:sz="4" w:space="0"/>
            </w:tcBorders>
            <w:vAlign w:val="center"/>
          </w:tcPr>
          <w:p w14:paraId="26DDF5F0">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黑体" w:hAnsi="黑体" w:eastAsia="黑体" w:cs="黑体"/>
                <w:color w:val="auto"/>
                <w:sz w:val="24"/>
                <w:szCs w:val="24"/>
                <w:highlight w:val="none"/>
                <w:u w:val="none"/>
                <w:vertAlign w:val="baseline"/>
                <w:lang w:val="en-US" w:eastAsia="zh-CN"/>
              </w:rPr>
            </w:pPr>
            <w:r>
              <w:rPr>
                <w:rFonts w:hint="eastAsia" w:ascii="黑体" w:hAnsi="黑体" w:eastAsia="黑体" w:cs="黑体"/>
                <w:color w:val="auto"/>
                <w:sz w:val="24"/>
                <w:szCs w:val="24"/>
                <w:highlight w:val="none"/>
                <w:u w:val="none"/>
                <w:vertAlign w:val="baseline"/>
                <w:lang w:val="en-US" w:eastAsia="zh-CN"/>
              </w:rPr>
              <w:t>投资预算</w:t>
            </w:r>
          </w:p>
          <w:p w14:paraId="528425F6">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黑体" w:hAnsi="黑体" w:eastAsia="黑体" w:cs="黑体"/>
                <w:color w:val="auto"/>
                <w:sz w:val="24"/>
                <w:szCs w:val="24"/>
                <w:highlight w:val="none"/>
                <w:u w:val="none"/>
                <w:vertAlign w:val="baseline"/>
                <w:lang w:val="en-US" w:eastAsia="zh-CN"/>
              </w:rPr>
            </w:pPr>
            <w:r>
              <w:rPr>
                <w:rFonts w:hint="eastAsia" w:ascii="黑体" w:hAnsi="黑体" w:eastAsia="黑体" w:cs="黑体"/>
                <w:color w:val="auto"/>
                <w:sz w:val="24"/>
                <w:szCs w:val="24"/>
                <w:highlight w:val="none"/>
                <w:u w:val="none"/>
                <w:vertAlign w:val="baseline"/>
                <w:lang w:val="en-US" w:eastAsia="zh-CN"/>
              </w:rPr>
              <w:t>（万元）</w:t>
            </w:r>
          </w:p>
        </w:tc>
      </w:tr>
      <w:tr w14:paraId="5D5A4C13">
        <w:tblPrEx>
          <w:tblCellMar>
            <w:top w:w="0" w:type="dxa"/>
            <w:left w:w="57" w:type="dxa"/>
            <w:bottom w:w="0" w:type="dxa"/>
            <w:right w:w="57" w:type="dxa"/>
          </w:tblCellMar>
        </w:tblPrEx>
        <w:trPr>
          <w:trHeight w:val="1306" w:hRule="exact"/>
          <w:jc w:val="center"/>
        </w:trPr>
        <w:tc>
          <w:tcPr>
            <w:tcW w:w="556" w:type="dxa"/>
            <w:tcBorders>
              <w:top w:val="single" w:color="000000" w:sz="4" w:space="0"/>
              <w:left w:val="single" w:color="000000" w:sz="4" w:space="0"/>
              <w:bottom w:val="single" w:color="000000" w:sz="4" w:space="0"/>
              <w:right w:val="single" w:color="000000" w:sz="4" w:space="0"/>
            </w:tcBorders>
            <w:vAlign w:val="center"/>
          </w:tcPr>
          <w:p w14:paraId="3FCA1052">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仿宋_GB2312" w:hAnsi="仿宋_GB2312" w:eastAsia="仿宋_GB2312" w:cs="仿宋_GB2312"/>
                <w:color w:val="auto"/>
                <w:sz w:val="24"/>
                <w:szCs w:val="24"/>
                <w:highlight w:val="none"/>
                <w:u w:val="none"/>
                <w:vertAlign w:val="baseline"/>
              </w:rPr>
            </w:pPr>
          </w:p>
          <w:p w14:paraId="797DF178">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仿宋_GB2312" w:hAnsi="仿宋_GB2312" w:eastAsia="仿宋_GB2312" w:cs="仿宋_GB2312"/>
                <w:color w:val="auto"/>
                <w:sz w:val="24"/>
                <w:szCs w:val="24"/>
                <w:highlight w:val="none"/>
                <w:u w:val="none"/>
                <w:vertAlign w:val="baseline"/>
              </w:rPr>
            </w:pPr>
            <w:r>
              <w:rPr>
                <w:rFonts w:hint="default" w:ascii="Times New Roman" w:hAnsi="Times New Roman" w:eastAsia="仿宋_GB2312" w:cs="Times New Roman"/>
                <w:color w:val="auto"/>
                <w:sz w:val="24"/>
                <w:szCs w:val="24"/>
                <w:highlight w:val="none"/>
                <w:u w:val="none"/>
                <w:vertAlign w:val="baseline"/>
              </w:rPr>
              <w:t>1</w:t>
            </w:r>
          </w:p>
        </w:tc>
        <w:tc>
          <w:tcPr>
            <w:tcW w:w="615" w:type="dxa"/>
            <w:vMerge w:val="restart"/>
            <w:tcBorders>
              <w:top w:val="single" w:color="000000" w:sz="4" w:space="0"/>
              <w:left w:val="single" w:color="000000" w:sz="4" w:space="0"/>
              <w:right w:val="single" w:color="000000" w:sz="4" w:space="0"/>
            </w:tcBorders>
          </w:tcPr>
          <w:p w14:paraId="75115FC6">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both"/>
              <w:textAlignment w:val="auto"/>
              <w:rPr>
                <w:rFonts w:hint="eastAsia" w:ascii="仿宋_GB2312" w:hAnsi="仿宋_GB2312" w:eastAsia="仿宋_GB2312" w:cs="仿宋_GB2312"/>
                <w:color w:val="auto"/>
                <w:sz w:val="24"/>
                <w:szCs w:val="24"/>
                <w:highlight w:val="none"/>
                <w:u w:val="none"/>
                <w:vertAlign w:val="baseline"/>
              </w:rPr>
            </w:pPr>
          </w:p>
          <w:p w14:paraId="048F5FBE">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both"/>
              <w:textAlignment w:val="auto"/>
              <w:rPr>
                <w:rFonts w:hint="eastAsia" w:ascii="仿宋_GB2312" w:hAnsi="仿宋_GB2312" w:eastAsia="仿宋_GB2312" w:cs="仿宋_GB2312"/>
                <w:color w:val="auto"/>
                <w:sz w:val="24"/>
                <w:szCs w:val="24"/>
                <w:highlight w:val="none"/>
                <w:u w:val="none"/>
                <w:vertAlign w:val="baseline"/>
              </w:rPr>
            </w:pPr>
          </w:p>
          <w:p w14:paraId="5F07C82A">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both"/>
              <w:textAlignment w:val="auto"/>
              <w:rPr>
                <w:rFonts w:hint="eastAsia" w:ascii="仿宋_GB2312" w:hAnsi="仿宋_GB2312" w:eastAsia="仿宋_GB2312" w:cs="仿宋_GB2312"/>
                <w:color w:val="auto"/>
                <w:sz w:val="24"/>
                <w:szCs w:val="24"/>
                <w:highlight w:val="none"/>
                <w:u w:val="none"/>
                <w:vertAlign w:val="baseline"/>
              </w:rPr>
            </w:pPr>
            <w:r>
              <w:rPr>
                <w:rFonts w:hint="eastAsia" w:ascii="仿宋_GB2312" w:hAnsi="仿宋_GB2312" w:eastAsia="仿宋_GB2312" w:cs="仿宋_GB2312"/>
                <w:color w:val="auto"/>
                <w:sz w:val="24"/>
                <w:szCs w:val="24"/>
                <w:highlight w:val="none"/>
                <w:u w:val="none"/>
                <w:vertAlign w:val="baseline"/>
              </w:rPr>
              <w:t>收集设施</w:t>
            </w:r>
          </w:p>
        </w:tc>
        <w:tc>
          <w:tcPr>
            <w:tcW w:w="1380" w:type="dxa"/>
            <w:tcBorders>
              <w:top w:val="single" w:color="000000" w:sz="4" w:space="0"/>
              <w:left w:val="single" w:color="000000" w:sz="4" w:space="0"/>
              <w:bottom w:val="single" w:color="000000" w:sz="4" w:space="0"/>
              <w:right w:val="single" w:color="000000" w:sz="4" w:space="0"/>
            </w:tcBorders>
            <w:vAlign w:val="center"/>
          </w:tcPr>
          <w:p w14:paraId="4AB29355">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both"/>
              <w:textAlignment w:val="auto"/>
              <w:rPr>
                <w:rFonts w:hint="eastAsia" w:ascii="仿宋_GB2312" w:hAnsi="仿宋_GB2312" w:eastAsia="仿宋_GB2312" w:cs="仿宋_GB2312"/>
                <w:color w:val="auto"/>
                <w:sz w:val="24"/>
                <w:szCs w:val="24"/>
                <w:highlight w:val="none"/>
                <w:u w:val="none"/>
                <w:vertAlign w:val="baseline"/>
              </w:rPr>
            </w:pPr>
            <w:r>
              <w:rPr>
                <w:rFonts w:hint="eastAsia" w:ascii="仿宋_GB2312" w:hAnsi="仿宋_GB2312" w:eastAsia="仿宋_GB2312" w:cs="仿宋_GB2312"/>
                <w:color w:val="auto"/>
                <w:sz w:val="24"/>
                <w:szCs w:val="24"/>
                <w:highlight w:val="none"/>
                <w:u w:val="none"/>
                <w:vertAlign w:val="baseline"/>
              </w:rPr>
              <w:t>装修垃圾集中投放点</w:t>
            </w:r>
          </w:p>
        </w:tc>
        <w:tc>
          <w:tcPr>
            <w:tcW w:w="3569" w:type="dxa"/>
            <w:tcBorders>
              <w:top w:val="single" w:color="000000" w:sz="4" w:space="0"/>
              <w:left w:val="single" w:color="000000" w:sz="4" w:space="0"/>
              <w:bottom w:val="single" w:color="000000" w:sz="4" w:space="0"/>
              <w:right w:val="single" w:color="000000" w:sz="4" w:space="0"/>
            </w:tcBorders>
          </w:tcPr>
          <w:p w14:paraId="72A808E9">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both"/>
              <w:textAlignment w:val="auto"/>
              <w:rPr>
                <w:rFonts w:hint="eastAsia" w:ascii="仿宋_GB2312" w:hAnsi="仿宋_GB2312" w:eastAsia="仿宋_GB2312" w:cs="仿宋_GB2312"/>
                <w:color w:val="auto"/>
                <w:sz w:val="24"/>
                <w:szCs w:val="24"/>
                <w:highlight w:val="none"/>
                <w:u w:val="none"/>
                <w:vertAlign w:val="baseline"/>
              </w:rPr>
            </w:pPr>
            <w:r>
              <w:rPr>
                <w:rFonts w:hint="eastAsia" w:ascii="仿宋_GB2312" w:hAnsi="仿宋_GB2312" w:eastAsia="仿宋_GB2312" w:cs="仿宋_GB2312"/>
                <w:color w:val="auto"/>
                <w:sz w:val="24"/>
                <w:szCs w:val="24"/>
                <w:highlight w:val="none"/>
                <w:u w:val="none"/>
                <w:vertAlign w:val="baseline"/>
              </w:rPr>
              <w:t>每个新建住宅小区应至少设置</w:t>
            </w:r>
            <w:r>
              <w:rPr>
                <w:rFonts w:hint="default" w:ascii="Times New Roman" w:hAnsi="Times New Roman" w:eastAsia="仿宋_GB2312" w:cs="Times New Roman"/>
                <w:color w:val="auto"/>
                <w:sz w:val="24"/>
                <w:szCs w:val="24"/>
                <w:highlight w:val="none"/>
                <w:u w:val="none"/>
                <w:vertAlign w:val="baseline"/>
              </w:rPr>
              <w:t>1</w:t>
            </w:r>
            <w:r>
              <w:rPr>
                <w:rFonts w:hint="eastAsia" w:ascii="仿宋_GB2312" w:hAnsi="仿宋_GB2312" w:eastAsia="仿宋_GB2312" w:cs="仿宋_GB2312"/>
                <w:color w:val="auto"/>
                <w:sz w:val="24"/>
                <w:szCs w:val="24"/>
                <w:highlight w:val="none"/>
                <w:u w:val="none"/>
                <w:vertAlign w:val="baseline"/>
              </w:rPr>
              <w:t xml:space="preserve"> </w:t>
            </w:r>
            <w:r>
              <w:rPr>
                <w:rFonts w:hint="eastAsia" w:ascii="仿宋_GB2312" w:hAnsi="仿宋_GB2312" w:eastAsia="仿宋_GB2312" w:cs="仿宋_GB2312"/>
                <w:color w:val="auto"/>
                <w:spacing w:val="-6"/>
                <w:sz w:val="24"/>
                <w:szCs w:val="24"/>
                <w:highlight w:val="none"/>
                <w:u w:val="none"/>
                <w:vertAlign w:val="baseline"/>
              </w:rPr>
              <w:t>处装修垃圾投放点，已建小区和村庄根据实际情况单独建设或合建</w:t>
            </w:r>
          </w:p>
        </w:tc>
        <w:tc>
          <w:tcPr>
            <w:tcW w:w="1897" w:type="dxa"/>
            <w:tcBorders>
              <w:top w:val="single" w:color="000000" w:sz="4" w:space="0"/>
              <w:left w:val="single" w:color="000000" w:sz="4" w:space="0"/>
              <w:bottom w:val="single" w:color="000000" w:sz="4" w:space="0"/>
              <w:right w:val="single" w:color="000000" w:sz="4" w:space="0"/>
            </w:tcBorders>
            <w:vAlign w:val="center"/>
          </w:tcPr>
          <w:p w14:paraId="59D2690E">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仿宋_GB2312" w:hAnsi="仿宋_GB2312" w:eastAsia="仿宋_GB2312" w:cs="仿宋_GB2312"/>
                <w:color w:val="auto"/>
                <w:sz w:val="24"/>
                <w:szCs w:val="24"/>
                <w:highlight w:val="none"/>
                <w:u w:val="none"/>
                <w:vertAlign w:val="baseline"/>
              </w:rPr>
            </w:pPr>
            <w:r>
              <w:rPr>
                <w:rFonts w:hint="eastAsia" w:ascii="仿宋_GB2312" w:hAnsi="仿宋_GB2312" w:eastAsia="仿宋_GB2312" w:cs="仿宋_GB2312"/>
                <w:color w:val="auto"/>
                <w:sz w:val="24"/>
                <w:szCs w:val="24"/>
                <w:highlight w:val="none"/>
                <w:u w:val="none"/>
                <w:vertAlign w:val="baseline"/>
              </w:rPr>
              <w:t>近期</w:t>
            </w:r>
          </w:p>
          <w:p w14:paraId="08781727">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仿宋_GB2312" w:hAnsi="仿宋_GB2312" w:eastAsia="仿宋_GB2312" w:cs="仿宋_GB2312"/>
                <w:color w:val="auto"/>
                <w:sz w:val="24"/>
                <w:szCs w:val="24"/>
                <w:highlight w:val="none"/>
                <w:u w:val="none"/>
                <w:vertAlign w:val="baseline"/>
              </w:rPr>
            </w:pPr>
            <w:r>
              <w:rPr>
                <w:rFonts w:hint="eastAsia" w:ascii="仿宋_GB2312" w:hAnsi="仿宋_GB2312" w:eastAsia="仿宋_GB2312" w:cs="仿宋_GB2312"/>
                <w:color w:val="auto"/>
                <w:sz w:val="24"/>
                <w:szCs w:val="24"/>
                <w:highlight w:val="none"/>
                <w:u w:val="none"/>
                <w:vertAlign w:val="baseline"/>
                <w:lang w:val="en-US" w:eastAsia="zh-CN"/>
              </w:rPr>
              <w:t>(</w:t>
            </w:r>
            <w:r>
              <w:rPr>
                <w:rFonts w:hint="default" w:ascii="Times New Roman" w:hAnsi="Times New Roman" w:eastAsia="仿宋_GB2312" w:cs="Times New Roman"/>
                <w:color w:val="auto"/>
                <w:sz w:val="24"/>
                <w:szCs w:val="24"/>
                <w:highlight w:val="none"/>
                <w:u w:val="none"/>
                <w:vertAlign w:val="baseline"/>
              </w:rPr>
              <w:t>2024</w:t>
            </w:r>
            <w:r>
              <w:rPr>
                <w:rFonts w:hint="eastAsia" w:ascii="仿宋_GB2312" w:hAnsi="仿宋_GB2312" w:eastAsia="仿宋_GB2312" w:cs="仿宋_GB2312"/>
                <w:color w:val="auto"/>
                <w:sz w:val="24"/>
                <w:szCs w:val="24"/>
                <w:highlight w:val="none"/>
                <w:u w:val="none"/>
                <w:vertAlign w:val="baseline"/>
                <w:lang w:val="en-US" w:eastAsia="zh-CN"/>
              </w:rPr>
              <w:t>—</w:t>
            </w:r>
            <w:r>
              <w:rPr>
                <w:rFonts w:hint="default" w:ascii="Times New Roman" w:hAnsi="Times New Roman" w:eastAsia="仿宋_GB2312" w:cs="Times New Roman"/>
                <w:color w:val="auto"/>
                <w:sz w:val="24"/>
                <w:szCs w:val="24"/>
                <w:highlight w:val="none"/>
                <w:u w:val="none"/>
                <w:vertAlign w:val="baseline"/>
              </w:rPr>
              <w:t>2030</w:t>
            </w:r>
            <w:r>
              <w:rPr>
                <w:rFonts w:hint="eastAsia" w:ascii="仿宋_GB2312" w:hAnsi="仿宋_GB2312" w:eastAsia="仿宋_GB2312" w:cs="仿宋_GB2312"/>
                <w:color w:val="auto"/>
                <w:sz w:val="24"/>
                <w:szCs w:val="24"/>
                <w:highlight w:val="none"/>
                <w:u w:val="none"/>
                <w:vertAlign w:val="baseline"/>
              </w:rPr>
              <w:t>年）</w:t>
            </w:r>
          </w:p>
        </w:tc>
        <w:tc>
          <w:tcPr>
            <w:tcW w:w="1119" w:type="dxa"/>
            <w:tcBorders>
              <w:top w:val="single" w:color="000000" w:sz="4" w:space="0"/>
              <w:left w:val="single" w:color="000000" w:sz="4" w:space="0"/>
              <w:bottom w:val="single" w:color="000000" w:sz="4" w:space="0"/>
              <w:right w:val="single" w:color="000000" w:sz="4" w:space="0"/>
            </w:tcBorders>
            <w:vAlign w:val="center"/>
          </w:tcPr>
          <w:p w14:paraId="3352130E">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仿宋_GB2312" w:hAnsi="仿宋_GB2312" w:eastAsia="仿宋_GB2312" w:cs="仿宋_GB2312"/>
                <w:color w:val="auto"/>
                <w:sz w:val="24"/>
                <w:szCs w:val="24"/>
                <w:highlight w:val="none"/>
                <w:u w:val="none"/>
                <w:vertAlign w:val="baseline"/>
              </w:rPr>
            </w:pPr>
          </w:p>
          <w:p w14:paraId="2F5B4857">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仿宋_GB2312" w:hAnsi="仿宋_GB2312" w:eastAsia="仿宋_GB2312" w:cs="仿宋_GB2312"/>
                <w:color w:val="auto"/>
                <w:sz w:val="24"/>
                <w:szCs w:val="24"/>
                <w:highlight w:val="none"/>
                <w:u w:val="none"/>
                <w:vertAlign w:val="baseline"/>
              </w:rPr>
            </w:pPr>
            <w:r>
              <w:rPr>
                <w:rFonts w:hint="default" w:ascii="Times New Roman" w:hAnsi="Times New Roman" w:eastAsia="仿宋_GB2312" w:cs="Times New Roman"/>
                <w:color w:val="auto"/>
                <w:sz w:val="24"/>
                <w:szCs w:val="24"/>
                <w:highlight w:val="none"/>
                <w:u w:val="none"/>
                <w:vertAlign w:val="baseline"/>
              </w:rPr>
              <w:t>200</w:t>
            </w:r>
          </w:p>
        </w:tc>
      </w:tr>
      <w:tr w14:paraId="6528B6EF">
        <w:tblPrEx>
          <w:tblCellMar>
            <w:top w:w="0" w:type="dxa"/>
            <w:left w:w="57" w:type="dxa"/>
            <w:bottom w:w="0" w:type="dxa"/>
            <w:right w:w="57" w:type="dxa"/>
          </w:tblCellMar>
        </w:tblPrEx>
        <w:trPr>
          <w:trHeight w:val="988" w:hRule="exact"/>
          <w:jc w:val="center"/>
        </w:trPr>
        <w:tc>
          <w:tcPr>
            <w:tcW w:w="556" w:type="dxa"/>
            <w:tcBorders>
              <w:top w:val="single" w:color="000000" w:sz="4" w:space="0"/>
              <w:left w:val="single" w:color="000000" w:sz="4" w:space="0"/>
              <w:bottom w:val="single" w:color="auto" w:sz="4" w:space="0"/>
              <w:right w:val="single" w:color="000000" w:sz="4" w:space="0"/>
            </w:tcBorders>
            <w:vAlign w:val="center"/>
          </w:tcPr>
          <w:p w14:paraId="4856131B">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仿宋_GB2312" w:hAnsi="仿宋_GB2312" w:eastAsia="仿宋_GB2312" w:cs="仿宋_GB2312"/>
                <w:color w:val="auto"/>
                <w:sz w:val="24"/>
                <w:szCs w:val="24"/>
                <w:highlight w:val="none"/>
                <w:u w:val="none"/>
                <w:vertAlign w:val="baseline"/>
              </w:rPr>
            </w:pPr>
            <w:r>
              <w:rPr>
                <w:rFonts w:hint="default" w:ascii="Times New Roman" w:hAnsi="Times New Roman" w:eastAsia="仿宋_GB2312" w:cs="Times New Roman"/>
                <w:color w:val="auto"/>
                <w:sz w:val="24"/>
                <w:szCs w:val="24"/>
                <w:highlight w:val="none"/>
                <w:u w:val="none"/>
                <w:vertAlign w:val="baseline"/>
              </w:rPr>
              <w:t>2</w:t>
            </w:r>
          </w:p>
        </w:tc>
        <w:tc>
          <w:tcPr>
            <w:tcW w:w="615" w:type="dxa"/>
            <w:vMerge w:val="continue"/>
            <w:tcBorders>
              <w:left w:val="single" w:color="000000" w:sz="4" w:space="0"/>
              <w:bottom w:val="single" w:color="auto" w:sz="4" w:space="0"/>
              <w:right w:val="single" w:color="000000" w:sz="4" w:space="0"/>
            </w:tcBorders>
          </w:tcPr>
          <w:p w14:paraId="682CF3EE">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both"/>
              <w:textAlignment w:val="auto"/>
              <w:rPr>
                <w:rFonts w:hint="eastAsia" w:ascii="仿宋_GB2312" w:hAnsi="仿宋_GB2312" w:eastAsia="仿宋_GB2312" w:cs="仿宋_GB2312"/>
                <w:color w:val="auto"/>
                <w:sz w:val="24"/>
                <w:szCs w:val="24"/>
                <w:highlight w:val="none"/>
                <w:u w:val="none"/>
                <w:vertAlign w:val="baseline"/>
              </w:rPr>
            </w:pPr>
          </w:p>
        </w:tc>
        <w:tc>
          <w:tcPr>
            <w:tcW w:w="1380" w:type="dxa"/>
            <w:tcBorders>
              <w:top w:val="single" w:color="000000" w:sz="4" w:space="0"/>
              <w:left w:val="single" w:color="000000" w:sz="4" w:space="0"/>
              <w:bottom w:val="single" w:color="auto" w:sz="4" w:space="0"/>
              <w:right w:val="single" w:color="000000" w:sz="4" w:space="0"/>
            </w:tcBorders>
            <w:vAlign w:val="center"/>
          </w:tcPr>
          <w:p w14:paraId="57C5E084">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both"/>
              <w:textAlignment w:val="auto"/>
              <w:rPr>
                <w:rFonts w:hint="eastAsia" w:ascii="仿宋_GB2312" w:hAnsi="仿宋_GB2312" w:eastAsia="仿宋_GB2312" w:cs="仿宋_GB2312"/>
                <w:color w:val="auto"/>
                <w:sz w:val="24"/>
                <w:szCs w:val="24"/>
                <w:highlight w:val="none"/>
                <w:u w:val="none"/>
                <w:vertAlign w:val="baseline"/>
              </w:rPr>
            </w:pPr>
            <w:r>
              <w:rPr>
                <w:rFonts w:hint="eastAsia" w:ascii="仿宋_GB2312" w:hAnsi="仿宋_GB2312" w:eastAsia="仿宋_GB2312" w:cs="仿宋_GB2312"/>
                <w:color w:val="auto"/>
                <w:sz w:val="24"/>
                <w:szCs w:val="24"/>
                <w:highlight w:val="none"/>
                <w:u w:val="none"/>
                <w:vertAlign w:val="baseline"/>
              </w:rPr>
              <w:t>建筑垃圾临时收集点</w:t>
            </w:r>
          </w:p>
        </w:tc>
        <w:tc>
          <w:tcPr>
            <w:tcW w:w="3569" w:type="dxa"/>
            <w:tcBorders>
              <w:top w:val="single" w:color="000000" w:sz="4" w:space="0"/>
              <w:left w:val="single" w:color="000000" w:sz="4" w:space="0"/>
              <w:bottom w:val="single" w:color="auto" w:sz="4" w:space="0"/>
              <w:right w:val="single" w:color="000000" w:sz="4" w:space="0"/>
            </w:tcBorders>
            <w:vAlign w:val="center"/>
          </w:tcPr>
          <w:p w14:paraId="655AA105">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both"/>
              <w:textAlignment w:val="auto"/>
              <w:rPr>
                <w:rFonts w:hint="eastAsia" w:ascii="仿宋_GB2312" w:hAnsi="仿宋_GB2312" w:eastAsia="仿宋_GB2312" w:cs="仿宋_GB2312"/>
                <w:color w:val="auto"/>
                <w:sz w:val="24"/>
                <w:szCs w:val="24"/>
                <w:highlight w:val="none"/>
                <w:u w:val="none"/>
                <w:vertAlign w:val="baseline"/>
              </w:rPr>
            </w:pPr>
            <w:r>
              <w:rPr>
                <w:rFonts w:hint="eastAsia" w:ascii="仿宋_GB2312" w:hAnsi="仿宋_GB2312" w:eastAsia="仿宋_GB2312" w:cs="仿宋_GB2312"/>
                <w:color w:val="auto"/>
                <w:sz w:val="24"/>
                <w:szCs w:val="24"/>
                <w:highlight w:val="none"/>
                <w:u w:val="none"/>
                <w:vertAlign w:val="baseline"/>
              </w:rPr>
              <w:t>每个建筑工地都应当在其作业区建设建筑垃圾临时收集点</w:t>
            </w:r>
          </w:p>
        </w:tc>
        <w:tc>
          <w:tcPr>
            <w:tcW w:w="1897" w:type="dxa"/>
            <w:tcBorders>
              <w:top w:val="single" w:color="000000" w:sz="4" w:space="0"/>
              <w:left w:val="single" w:color="000000" w:sz="4" w:space="0"/>
              <w:bottom w:val="single" w:color="000000" w:sz="4" w:space="0"/>
              <w:right w:val="single" w:color="000000" w:sz="4" w:space="0"/>
            </w:tcBorders>
            <w:vAlign w:val="center"/>
          </w:tcPr>
          <w:p w14:paraId="4C5E5906">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仿宋_GB2312" w:hAnsi="仿宋_GB2312" w:eastAsia="仿宋_GB2312" w:cs="仿宋_GB2312"/>
                <w:color w:val="auto"/>
                <w:sz w:val="24"/>
                <w:szCs w:val="24"/>
                <w:highlight w:val="none"/>
                <w:u w:val="none"/>
                <w:vertAlign w:val="baseline"/>
              </w:rPr>
            </w:pPr>
            <w:r>
              <w:rPr>
                <w:rFonts w:hint="eastAsia" w:ascii="仿宋_GB2312" w:hAnsi="仿宋_GB2312" w:eastAsia="仿宋_GB2312" w:cs="仿宋_GB2312"/>
                <w:color w:val="auto"/>
                <w:sz w:val="24"/>
                <w:szCs w:val="24"/>
                <w:highlight w:val="none"/>
                <w:u w:val="none"/>
                <w:vertAlign w:val="baseline"/>
              </w:rPr>
              <w:t>近期</w:t>
            </w:r>
          </w:p>
          <w:p w14:paraId="0CE2DE60">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仿宋_GB2312" w:hAnsi="仿宋_GB2312" w:eastAsia="仿宋_GB2312" w:cs="仿宋_GB2312"/>
                <w:color w:val="auto"/>
                <w:sz w:val="24"/>
                <w:szCs w:val="24"/>
                <w:highlight w:val="none"/>
                <w:u w:val="none"/>
                <w:vertAlign w:val="baseline"/>
              </w:rPr>
            </w:pPr>
            <w:r>
              <w:rPr>
                <w:rFonts w:hint="eastAsia" w:ascii="仿宋_GB2312" w:hAnsi="仿宋_GB2312" w:eastAsia="仿宋_GB2312" w:cs="仿宋_GB2312"/>
                <w:color w:val="auto"/>
                <w:sz w:val="24"/>
                <w:szCs w:val="24"/>
                <w:highlight w:val="none"/>
                <w:u w:val="none"/>
                <w:vertAlign w:val="baseline"/>
                <w:lang w:val="en-US" w:eastAsia="zh-CN"/>
              </w:rPr>
              <w:t>(</w:t>
            </w:r>
            <w:r>
              <w:rPr>
                <w:rFonts w:hint="default" w:ascii="Times New Roman" w:hAnsi="Times New Roman" w:eastAsia="仿宋_GB2312" w:cs="Times New Roman"/>
                <w:color w:val="auto"/>
                <w:sz w:val="24"/>
                <w:szCs w:val="24"/>
                <w:highlight w:val="none"/>
                <w:u w:val="none"/>
                <w:vertAlign w:val="baseline"/>
              </w:rPr>
              <w:t>2024</w:t>
            </w:r>
            <w:r>
              <w:rPr>
                <w:rFonts w:hint="eastAsia" w:ascii="仿宋_GB2312" w:hAnsi="仿宋_GB2312" w:eastAsia="仿宋_GB2312" w:cs="仿宋_GB2312"/>
                <w:color w:val="auto"/>
                <w:sz w:val="24"/>
                <w:szCs w:val="24"/>
                <w:highlight w:val="none"/>
                <w:u w:val="none"/>
                <w:vertAlign w:val="baseline"/>
                <w:lang w:val="en-US" w:eastAsia="zh-CN"/>
              </w:rPr>
              <w:t>—</w:t>
            </w:r>
            <w:r>
              <w:rPr>
                <w:rFonts w:hint="default" w:ascii="Times New Roman" w:hAnsi="Times New Roman" w:eastAsia="仿宋_GB2312" w:cs="Times New Roman"/>
                <w:color w:val="auto"/>
                <w:sz w:val="24"/>
                <w:szCs w:val="24"/>
                <w:highlight w:val="none"/>
                <w:u w:val="none"/>
                <w:vertAlign w:val="baseline"/>
              </w:rPr>
              <w:t>2030</w:t>
            </w:r>
            <w:r>
              <w:rPr>
                <w:rFonts w:hint="eastAsia" w:ascii="仿宋_GB2312" w:hAnsi="仿宋_GB2312" w:eastAsia="仿宋_GB2312" w:cs="仿宋_GB2312"/>
                <w:color w:val="auto"/>
                <w:sz w:val="24"/>
                <w:szCs w:val="24"/>
                <w:highlight w:val="none"/>
                <w:u w:val="none"/>
                <w:vertAlign w:val="baseline"/>
              </w:rPr>
              <w:t>年）</w:t>
            </w:r>
          </w:p>
        </w:tc>
        <w:tc>
          <w:tcPr>
            <w:tcW w:w="1119" w:type="dxa"/>
            <w:tcBorders>
              <w:top w:val="single" w:color="000000" w:sz="4" w:space="0"/>
              <w:left w:val="single" w:color="000000" w:sz="4" w:space="0"/>
              <w:bottom w:val="single" w:color="000000" w:sz="4" w:space="0"/>
              <w:right w:val="single" w:color="000000" w:sz="4" w:space="0"/>
            </w:tcBorders>
            <w:vAlign w:val="center"/>
          </w:tcPr>
          <w:p w14:paraId="53BCF2CD">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仿宋_GB2312" w:hAnsi="仿宋_GB2312" w:eastAsia="仿宋_GB2312" w:cs="仿宋_GB2312"/>
                <w:color w:val="auto"/>
                <w:sz w:val="24"/>
                <w:szCs w:val="24"/>
                <w:highlight w:val="none"/>
                <w:u w:val="none"/>
                <w:vertAlign w:val="baseline"/>
                <w:lang w:val="en-US" w:eastAsia="zh-CN"/>
              </w:rPr>
            </w:pPr>
            <w:r>
              <w:rPr>
                <w:rFonts w:hint="eastAsia" w:ascii="仿宋_GB2312" w:hAnsi="仿宋_GB2312" w:eastAsia="仿宋_GB2312" w:cs="仿宋_GB2312"/>
                <w:color w:val="auto"/>
                <w:sz w:val="24"/>
                <w:szCs w:val="24"/>
                <w:highlight w:val="none"/>
                <w:u w:val="none"/>
                <w:vertAlign w:val="baseline"/>
                <w:lang w:val="en-US" w:eastAsia="zh-CN"/>
              </w:rPr>
              <w:t>纳入</w:t>
            </w:r>
            <w:r>
              <w:rPr>
                <w:rFonts w:hint="eastAsia" w:ascii="仿宋_GB2312" w:hAnsi="仿宋_GB2312" w:eastAsia="仿宋_GB2312" w:cs="仿宋_GB2312"/>
                <w:color w:val="auto"/>
                <w:sz w:val="24"/>
                <w:szCs w:val="24"/>
                <w:highlight w:val="none"/>
                <w:u w:val="none"/>
                <w:vertAlign w:val="baseline"/>
              </w:rPr>
              <w:t>建筑工地</w:t>
            </w:r>
            <w:r>
              <w:rPr>
                <w:rFonts w:hint="eastAsia" w:ascii="仿宋_GB2312" w:hAnsi="仿宋_GB2312" w:eastAsia="仿宋_GB2312" w:cs="仿宋_GB2312"/>
                <w:color w:val="auto"/>
                <w:sz w:val="24"/>
                <w:szCs w:val="24"/>
                <w:highlight w:val="none"/>
                <w:u w:val="none"/>
                <w:vertAlign w:val="baseline"/>
                <w:lang w:val="en-US" w:eastAsia="zh-CN"/>
              </w:rPr>
              <w:t>投资</w:t>
            </w:r>
          </w:p>
        </w:tc>
      </w:tr>
      <w:tr w14:paraId="5B858A9C">
        <w:tblPrEx>
          <w:tblCellMar>
            <w:top w:w="0" w:type="dxa"/>
            <w:left w:w="57" w:type="dxa"/>
            <w:bottom w:w="0" w:type="dxa"/>
            <w:right w:w="57" w:type="dxa"/>
          </w:tblCellMar>
        </w:tblPrEx>
        <w:trPr>
          <w:trHeight w:val="1615" w:hRule="exact"/>
          <w:jc w:val="center"/>
        </w:trPr>
        <w:tc>
          <w:tcPr>
            <w:tcW w:w="556" w:type="dxa"/>
            <w:tcBorders>
              <w:top w:val="single" w:color="auto" w:sz="4" w:space="0"/>
              <w:left w:val="single" w:color="auto" w:sz="4" w:space="0"/>
              <w:bottom w:val="single" w:color="auto" w:sz="4" w:space="0"/>
              <w:right w:val="single" w:color="000000" w:sz="4" w:space="0"/>
            </w:tcBorders>
            <w:vAlign w:val="center"/>
          </w:tcPr>
          <w:p w14:paraId="0D799EB9">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仿宋_GB2312" w:hAnsi="仿宋_GB2312" w:eastAsia="仿宋_GB2312" w:cs="仿宋_GB2312"/>
                <w:color w:val="auto"/>
                <w:kern w:val="2"/>
                <w:sz w:val="24"/>
                <w:szCs w:val="24"/>
                <w:highlight w:val="none"/>
                <w:u w:val="none"/>
                <w:vertAlign w:val="baseline"/>
                <w:lang w:val="en-US" w:eastAsia="zh-CN" w:bidi="ar-SA"/>
              </w:rPr>
            </w:pPr>
            <w:r>
              <w:rPr>
                <w:rFonts w:hint="default" w:ascii="Times New Roman" w:hAnsi="Times New Roman" w:eastAsia="仿宋_GB2312" w:cs="Times New Roman"/>
                <w:color w:val="auto"/>
                <w:sz w:val="24"/>
                <w:szCs w:val="24"/>
                <w:highlight w:val="none"/>
                <w:u w:val="none"/>
                <w:vertAlign w:val="baseline"/>
                <w:lang w:val="en-US" w:eastAsia="zh-CN"/>
              </w:rPr>
              <w:t>3</w:t>
            </w:r>
          </w:p>
        </w:tc>
        <w:tc>
          <w:tcPr>
            <w:tcW w:w="1995" w:type="dxa"/>
            <w:gridSpan w:val="2"/>
            <w:tcBorders>
              <w:top w:val="single" w:color="auto" w:sz="4" w:space="0"/>
              <w:left w:val="single" w:color="000000" w:sz="4" w:space="0"/>
              <w:bottom w:val="single" w:color="auto" w:sz="4" w:space="0"/>
              <w:right w:val="single" w:color="000000" w:sz="4" w:space="0"/>
            </w:tcBorders>
            <w:vAlign w:val="center"/>
          </w:tcPr>
          <w:p w14:paraId="45FAC326">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仿宋_GB2312" w:hAnsi="仿宋_GB2312" w:eastAsia="仿宋_GB2312" w:cs="仿宋_GB2312"/>
                <w:color w:val="auto"/>
                <w:kern w:val="2"/>
                <w:sz w:val="24"/>
                <w:szCs w:val="24"/>
                <w:highlight w:val="none"/>
                <w:u w:val="none"/>
                <w:vertAlign w:val="baseline"/>
                <w:lang w:val="en-US" w:eastAsia="zh-CN" w:bidi="ar-SA"/>
              </w:rPr>
            </w:pPr>
            <w:r>
              <w:rPr>
                <w:rFonts w:hint="eastAsia" w:ascii="仿宋_GB2312" w:hAnsi="仿宋_GB2312" w:eastAsia="仿宋_GB2312" w:cs="仿宋_GB2312"/>
                <w:color w:val="auto"/>
                <w:sz w:val="24"/>
                <w:szCs w:val="24"/>
                <w:highlight w:val="none"/>
                <w:u w:val="none"/>
                <w:vertAlign w:val="baseline"/>
                <w:lang w:val="en-US" w:eastAsia="zh-CN"/>
              </w:rPr>
              <w:t>融安县建筑垃圾消纳场</w:t>
            </w:r>
          </w:p>
        </w:tc>
        <w:tc>
          <w:tcPr>
            <w:tcW w:w="3569" w:type="dxa"/>
            <w:tcBorders>
              <w:top w:val="single" w:color="auto" w:sz="4" w:space="0"/>
              <w:left w:val="single" w:color="000000" w:sz="4" w:space="0"/>
              <w:bottom w:val="single" w:color="auto" w:sz="4" w:space="0"/>
              <w:right w:val="single" w:color="auto" w:sz="4" w:space="0"/>
            </w:tcBorders>
            <w:vAlign w:val="center"/>
          </w:tcPr>
          <w:p w14:paraId="1FF1A941">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both"/>
              <w:textAlignment w:val="auto"/>
              <w:rPr>
                <w:rFonts w:hint="eastAsia" w:ascii="仿宋_GB2312" w:hAnsi="仿宋_GB2312" w:eastAsia="仿宋_GB2312" w:cs="仿宋_GB2312"/>
                <w:color w:val="auto"/>
                <w:sz w:val="24"/>
                <w:szCs w:val="24"/>
                <w:highlight w:val="none"/>
                <w:u w:val="none"/>
                <w:vertAlign w:val="baseline"/>
                <w:lang w:val="en-US" w:eastAsia="zh-CN"/>
              </w:rPr>
            </w:pPr>
            <w:r>
              <w:rPr>
                <w:rFonts w:hint="eastAsia" w:ascii="仿宋_GB2312" w:hAnsi="仿宋_GB2312" w:eastAsia="仿宋_GB2312" w:cs="仿宋_GB2312"/>
                <w:color w:val="auto"/>
                <w:sz w:val="24"/>
                <w:szCs w:val="24"/>
                <w:highlight w:val="none"/>
                <w:u w:val="none"/>
                <w:vertAlign w:val="baseline"/>
                <w:lang w:val="en-US" w:eastAsia="zh-CN"/>
              </w:rPr>
              <w:t>建设一座占地面积</w:t>
            </w:r>
            <w:r>
              <w:rPr>
                <w:rFonts w:hint="default" w:ascii="Times New Roman" w:hAnsi="Times New Roman" w:eastAsia="仿宋_GB2312" w:cs="Times New Roman"/>
                <w:color w:val="auto"/>
                <w:sz w:val="24"/>
                <w:szCs w:val="24"/>
                <w:highlight w:val="none"/>
                <w:u w:val="none"/>
                <w:vertAlign w:val="baseline"/>
                <w:lang w:val="en-US" w:eastAsia="zh-CN"/>
              </w:rPr>
              <w:t>280</w:t>
            </w:r>
            <w:r>
              <w:rPr>
                <w:rFonts w:hint="eastAsia" w:ascii="仿宋_GB2312" w:hAnsi="仿宋_GB2312" w:eastAsia="仿宋_GB2312" w:cs="仿宋_GB2312"/>
                <w:color w:val="auto"/>
                <w:sz w:val="24"/>
                <w:szCs w:val="24"/>
                <w:highlight w:val="none"/>
                <w:u w:val="none"/>
                <w:vertAlign w:val="baseline"/>
                <w:lang w:val="en-US" w:eastAsia="zh-CN"/>
              </w:rPr>
              <w:t>亩，处理总量约</w:t>
            </w:r>
            <w:r>
              <w:rPr>
                <w:rFonts w:hint="default" w:ascii="Times New Roman" w:hAnsi="Times New Roman" w:eastAsia="仿宋_GB2312" w:cs="Times New Roman"/>
                <w:color w:val="auto"/>
                <w:sz w:val="24"/>
                <w:szCs w:val="24"/>
                <w:highlight w:val="none"/>
                <w:u w:val="none"/>
                <w:vertAlign w:val="baseline"/>
                <w:lang w:val="en-US" w:eastAsia="zh-CN"/>
              </w:rPr>
              <w:t>500</w:t>
            </w:r>
            <w:r>
              <w:rPr>
                <w:rFonts w:hint="eastAsia" w:ascii="仿宋_GB2312" w:hAnsi="仿宋_GB2312" w:eastAsia="仿宋_GB2312" w:cs="仿宋_GB2312"/>
                <w:color w:val="auto"/>
                <w:sz w:val="24"/>
                <w:szCs w:val="24"/>
                <w:highlight w:val="none"/>
                <w:u w:val="none"/>
                <w:vertAlign w:val="baseline"/>
                <w:lang w:val="en-US" w:eastAsia="zh-CN"/>
              </w:rPr>
              <w:t>万平方米的建筑垃圾消纳场，项目一期用地</w:t>
            </w:r>
            <w:r>
              <w:rPr>
                <w:rFonts w:hint="default" w:ascii="Times New Roman" w:hAnsi="Times New Roman" w:eastAsia="仿宋_GB2312" w:cs="Times New Roman"/>
                <w:color w:val="auto"/>
                <w:sz w:val="24"/>
                <w:szCs w:val="24"/>
                <w:highlight w:val="none"/>
                <w:u w:val="none"/>
                <w:vertAlign w:val="baseline"/>
                <w:lang w:val="en-US" w:eastAsia="zh-CN"/>
              </w:rPr>
              <w:t>50</w:t>
            </w:r>
            <w:r>
              <w:rPr>
                <w:rFonts w:hint="eastAsia" w:ascii="仿宋_GB2312" w:hAnsi="仿宋_GB2312" w:eastAsia="仿宋_GB2312" w:cs="仿宋_GB2312"/>
                <w:color w:val="auto"/>
                <w:sz w:val="24"/>
                <w:szCs w:val="24"/>
                <w:highlight w:val="none"/>
                <w:u w:val="none"/>
                <w:vertAlign w:val="baseline"/>
                <w:lang w:val="en-US" w:eastAsia="zh-CN"/>
              </w:rPr>
              <w:t>亩、二期</w:t>
            </w:r>
            <w:r>
              <w:rPr>
                <w:rFonts w:hint="default" w:ascii="Times New Roman" w:hAnsi="Times New Roman" w:eastAsia="仿宋_GB2312" w:cs="Times New Roman"/>
                <w:color w:val="auto"/>
                <w:sz w:val="24"/>
                <w:szCs w:val="24"/>
                <w:highlight w:val="none"/>
                <w:u w:val="none"/>
                <w:vertAlign w:val="baseline"/>
                <w:lang w:val="en-US" w:eastAsia="zh-CN"/>
              </w:rPr>
              <w:t>100</w:t>
            </w:r>
            <w:r>
              <w:rPr>
                <w:rFonts w:hint="eastAsia" w:ascii="仿宋_GB2312" w:hAnsi="仿宋_GB2312" w:eastAsia="仿宋_GB2312" w:cs="仿宋_GB2312"/>
                <w:color w:val="auto"/>
                <w:sz w:val="24"/>
                <w:szCs w:val="24"/>
                <w:highlight w:val="none"/>
                <w:u w:val="none"/>
                <w:vertAlign w:val="baseline"/>
                <w:lang w:val="en-US" w:eastAsia="zh-CN"/>
              </w:rPr>
              <w:t>亩、三期</w:t>
            </w:r>
            <w:r>
              <w:rPr>
                <w:rFonts w:hint="default" w:ascii="Times New Roman" w:hAnsi="Times New Roman" w:eastAsia="仿宋_GB2312" w:cs="Times New Roman"/>
                <w:color w:val="auto"/>
                <w:sz w:val="24"/>
                <w:szCs w:val="24"/>
                <w:highlight w:val="none"/>
                <w:u w:val="none"/>
                <w:vertAlign w:val="baseline"/>
                <w:lang w:val="en-US" w:eastAsia="zh-CN"/>
              </w:rPr>
              <w:t>130</w:t>
            </w:r>
            <w:r>
              <w:rPr>
                <w:rFonts w:hint="eastAsia" w:ascii="仿宋_GB2312" w:hAnsi="仿宋_GB2312" w:eastAsia="仿宋_GB2312" w:cs="仿宋_GB2312"/>
                <w:color w:val="auto"/>
                <w:sz w:val="24"/>
                <w:szCs w:val="24"/>
                <w:highlight w:val="none"/>
                <w:u w:val="none"/>
                <w:vertAlign w:val="baseline"/>
                <w:lang w:val="en-US" w:eastAsia="zh-CN"/>
              </w:rPr>
              <w:t>亩</w:t>
            </w:r>
          </w:p>
          <w:p w14:paraId="0BA69E5A">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both"/>
              <w:textAlignment w:val="auto"/>
              <w:rPr>
                <w:rFonts w:hint="eastAsia" w:ascii="仿宋_GB2312" w:hAnsi="仿宋_GB2312" w:eastAsia="仿宋_GB2312" w:cs="仿宋_GB2312"/>
                <w:color w:val="auto"/>
                <w:kern w:val="2"/>
                <w:sz w:val="24"/>
                <w:szCs w:val="24"/>
                <w:highlight w:val="none"/>
                <w:u w:val="none"/>
                <w:vertAlign w:val="baseline"/>
                <w:lang w:val="en-US" w:eastAsia="zh-CN" w:bidi="ar-SA"/>
              </w:rPr>
            </w:pPr>
          </w:p>
        </w:tc>
        <w:tc>
          <w:tcPr>
            <w:tcW w:w="1897" w:type="dxa"/>
            <w:tcBorders>
              <w:top w:val="single" w:color="000000" w:sz="4" w:space="0"/>
              <w:left w:val="single" w:color="auto" w:sz="4" w:space="0"/>
              <w:bottom w:val="single" w:color="000000" w:sz="4" w:space="0"/>
              <w:right w:val="single" w:color="000000" w:sz="4" w:space="0"/>
            </w:tcBorders>
            <w:vAlign w:val="center"/>
          </w:tcPr>
          <w:p w14:paraId="49316BE3">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仿宋_GB2312" w:hAnsi="仿宋_GB2312" w:eastAsia="仿宋_GB2312" w:cs="仿宋_GB2312"/>
                <w:color w:val="auto"/>
                <w:sz w:val="24"/>
                <w:szCs w:val="24"/>
                <w:highlight w:val="none"/>
                <w:u w:val="none"/>
                <w:vertAlign w:val="baseline"/>
                <w:lang w:val="en-US" w:eastAsia="zh-CN"/>
              </w:rPr>
            </w:pPr>
            <w:r>
              <w:rPr>
                <w:rFonts w:hint="eastAsia" w:ascii="仿宋_GB2312" w:hAnsi="仿宋_GB2312" w:eastAsia="仿宋_GB2312" w:cs="仿宋_GB2312"/>
                <w:color w:val="auto"/>
                <w:sz w:val="24"/>
                <w:szCs w:val="24"/>
                <w:highlight w:val="none"/>
                <w:u w:val="none"/>
                <w:vertAlign w:val="baseline"/>
                <w:lang w:val="en-US" w:eastAsia="zh-CN"/>
              </w:rPr>
              <w:t>近期</w:t>
            </w:r>
          </w:p>
          <w:p w14:paraId="39CB4E8D">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仿宋_GB2312" w:hAnsi="仿宋_GB2312" w:eastAsia="仿宋_GB2312" w:cs="仿宋_GB2312"/>
                <w:color w:val="auto"/>
                <w:kern w:val="2"/>
                <w:sz w:val="24"/>
                <w:szCs w:val="24"/>
                <w:highlight w:val="none"/>
                <w:u w:val="none"/>
                <w:vertAlign w:val="baseline"/>
                <w:lang w:val="en-US" w:eastAsia="zh-CN" w:bidi="ar-SA"/>
              </w:rPr>
            </w:pPr>
            <w:r>
              <w:rPr>
                <w:rFonts w:hint="eastAsia" w:ascii="仿宋_GB2312" w:hAnsi="仿宋_GB2312" w:eastAsia="仿宋_GB2312" w:cs="仿宋_GB2312"/>
                <w:color w:val="auto"/>
                <w:sz w:val="24"/>
                <w:szCs w:val="24"/>
                <w:highlight w:val="none"/>
                <w:u w:val="none"/>
                <w:vertAlign w:val="baseline"/>
                <w:lang w:val="en-US" w:eastAsia="zh-CN"/>
              </w:rPr>
              <w:t>(</w:t>
            </w:r>
            <w:r>
              <w:rPr>
                <w:rFonts w:hint="default" w:ascii="Times New Roman" w:hAnsi="Times New Roman" w:eastAsia="仿宋_GB2312" w:cs="Times New Roman"/>
                <w:color w:val="auto"/>
                <w:sz w:val="24"/>
                <w:szCs w:val="24"/>
                <w:highlight w:val="none"/>
                <w:u w:val="none"/>
                <w:vertAlign w:val="baseline"/>
                <w:lang w:val="en-US" w:eastAsia="zh-CN"/>
              </w:rPr>
              <w:t>2024</w:t>
            </w:r>
            <w:r>
              <w:rPr>
                <w:rFonts w:hint="eastAsia" w:ascii="仿宋_GB2312" w:hAnsi="仿宋_GB2312" w:eastAsia="仿宋_GB2312" w:cs="仿宋_GB2312"/>
                <w:color w:val="auto"/>
                <w:sz w:val="24"/>
                <w:szCs w:val="24"/>
                <w:highlight w:val="none"/>
                <w:u w:val="none"/>
                <w:vertAlign w:val="baseline"/>
                <w:lang w:val="en-US" w:eastAsia="zh-CN"/>
              </w:rPr>
              <w:t>—</w:t>
            </w:r>
            <w:r>
              <w:rPr>
                <w:rFonts w:hint="default" w:ascii="Times New Roman" w:hAnsi="Times New Roman" w:eastAsia="仿宋_GB2312" w:cs="Times New Roman"/>
                <w:color w:val="auto"/>
                <w:sz w:val="24"/>
                <w:szCs w:val="24"/>
                <w:highlight w:val="none"/>
                <w:u w:val="none"/>
                <w:vertAlign w:val="baseline"/>
                <w:lang w:val="en-US" w:eastAsia="zh-CN"/>
              </w:rPr>
              <w:t>2030</w:t>
            </w:r>
            <w:r>
              <w:rPr>
                <w:rFonts w:hint="eastAsia" w:ascii="仿宋_GB2312" w:hAnsi="仿宋_GB2312" w:eastAsia="仿宋_GB2312" w:cs="仿宋_GB2312"/>
                <w:color w:val="auto"/>
                <w:sz w:val="24"/>
                <w:szCs w:val="24"/>
                <w:highlight w:val="none"/>
                <w:u w:val="none"/>
                <w:vertAlign w:val="baseline"/>
                <w:lang w:val="en-US" w:eastAsia="zh-CN"/>
              </w:rPr>
              <w:t>年）</w:t>
            </w:r>
          </w:p>
        </w:tc>
        <w:tc>
          <w:tcPr>
            <w:tcW w:w="1119" w:type="dxa"/>
            <w:tcBorders>
              <w:top w:val="single" w:color="000000" w:sz="4" w:space="0"/>
              <w:left w:val="single" w:color="000000" w:sz="4" w:space="0"/>
              <w:bottom w:val="single" w:color="000000" w:sz="4" w:space="0"/>
              <w:right w:val="single" w:color="000000" w:sz="4" w:space="0"/>
            </w:tcBorders>
            <w:vAlign w:val="center"/>
          </w:tcPr>
          <w:p w14:paraId="60CDCDD9">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仿宋_GB2312" w:hAnsi="仿宋_GB2312" w:eastAsia="仿宋_GB2312" w:cs="仿宋_GB2312"/>
                <w:color w:val="auto"/>
                <w:sz w:val="24"/>
                <w:szCs w:val="24"/>
                <w:highlight w:val="none"/>
                <w:u w:val="none"/>
                <w:vertAlign w:val="baseline"/>
                <w:lang w:val="en-US" w:eastAsia="zh-CN"/>
              </w:rPr>
            </w:pPr>
          </w:p>
          <w:p w14:paraId="4F8D1DB8">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仿宋_GB2312" w:hAnsi="仿宋_GB2312" w:eastAsia="仿宋_GB2312" w:cs="仿宋_GB2312"/>
                <w:color w:val="auto"/>
                <w:kern w:val="2"/>
                <w:sz w:val="24"/>
                <w:szCs w:val="24"/>
                <w:highlight w:val="none"/>
                <w:u w:val="none"/>
                <w:vertAlign w:val="baseline"/>
                <w:lang w:val="en-US" w:eastAsia="zh-CN" w:bidi="ar-SA"/>
              </w:rPr>
            </w:pPr>
            <w:r>
              <w:rPr>
                <w:rFonts w:hint="default" w:ascii="Times New Roman" w:hAnsi="Times New Roman" w:eastAsia="仿宋_GB2312" w:cs="Times New Roman"/>
                <w:color w:val="auto"/>
                <w:sz w:val="24"/>
                <w:szCs w:val="24"/>
                <w:highlight w:val="none"/>
                <w:u w:val="none"/>
                <w:vertAlign w:val="baseline"/>
                <w:lang w:val="en-US" w:eastAsia="zh-CN"/>
              </w:rPr>
              <w:t>2700</w:t>
            </w:r>
          </w:p>
        </w:tc>
      </w:tr>
      <w:tr w14:paraId="2920DF2C">
        <w:tblPrEx>
          <w:tblCellMar>
            <w:top w:w="0" w:type="dxa"/>
            <w:left w:w="57" w:type="dxa"/>
            <w:bottom w:w="0" w:type="dxa"/>
            <w:right w:w="57" w:type="dxa"/>
          </w:tblCellMar>
        </w:tblPrEx>
        <w:trPr>
          <w:trHeight w:val="1218" w:hRule="exact"/>
          <w:jc w:val="center"/>
        </w:trPr>
        <w:tc>
          <w:tcPr>
            <w:tcW w:w="556" w:type="dxa"/>
            <w:tcBorders>
              <w:top w:val="single" w:color="auto" w:sz="4" w:space="0"/>
              <w:left w:val="single" w:color="000000" w:sz="4" w:space="0"/>
              <w:bottom w:val="single" w:color="000000" w:sz="4" w:space="0"/>
              <w:right w:val="single" w:color="000000" w:sz="4" w:space="0"/>
            </w:tcBorders>
            <w:vAlign w:val="center"/>
          </w:tcPr>
          <w:p w14:paraId="103DAF24">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仿宋_GB2312" w:hAnsi="仿宋_GB2312" w:eastAsia="仿宋_GB2312" w:cs="仿宋_GB2312"/>
                <w:color w:val="auto"/>
                <w:sz w:val="24"/>
                <w:szCs w:val="24"/>
                <w:highlight w:val="none"/>
                <w:u w:val="none"/>
                <w:vertAlign w:val="baseline"/>
                <w:lang w:val="en-US" w:eastAsia="zh-CN"/>
              </w:rPr>
            </w:pPr>
            <w:r>
              <w:rPr>
                <w:rFonts w:hint="default" w:ascii="Times New Roman" w:hAnsi="Times New Roman" w:eastAsia="仿宋_GB2312" w:cs="Times New Roman"/>
                <w:color w:val="auto"/>
                <w:sz w:val="24"/>
                <w:szCs w:val="24"/>
                <w:highlight w:val="none"/>
                <w:u w:val="none"/>
                <w:vertAlign w:val="baseline"/>
                <w:lang w:val="en-US" w:eastAsia="zh-CN"/>
              </w:rPr>
              <w:t>4</w:t>
            </w:r>
          </w:p>
        </w:tc>
        <w:tc>
          <w:tcPr>
            <w:tcW w:w="1995" w:type="dxa"/>
            <w:gridSpan w:val="2"/>
            <w:tcBorders>
              <w:top w:val="single" w:color="auto" w:sz="4" w:space="0"/>
              <w:left w:val="single" w:color="000000" w:sz="4" w:space="0"/>
              <w:bottom w:val="single" w:color="000000" w:sz="4" w:space="0"/>
              <w:right w:val="single" w:color="000000" w:sz="4" w:space="0"/>
            </w:tcBorders>
            <w:vAlign w:val="center"/>
          </w:tcPr>
          <w:p w14:paraId="4E2915A1">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仿宋_GB2312" w:hAnsi="仿宋_GB2312" w:eastAsia="仿宋_GB2312" w:cs="仿宋_GB2312"/>
                <w:color w:val="auto"/>
                <w:sz w:val="24"/>
                <w:szCs w:val="24"/>
                <w:highlight w:val="none"/>
                <w:u w:val="none"/>
                <w:vertAlign w:val="baseline"/>
                <w:lang w:val="en-US" w:eastAsia="zh-CN"/>
              </w:rPr>
            </w:pPr>
            <w:r>
              <w:rPr>
                <w:rFonts w:hint="eastAsia" w:ascii="仿宋_GB2312" w:hAnsi="仿宋_GB2312" w:eastAsia="仿宋_GB2312" w:cs="仿宋_GB2312"/>
                <w:color w:val="auto"/>
                <w:sz w:val="24"/>
                <w:szCs w:val="24"/>
                <w:highlight w:val="none"/>
                <w:u w:val="none"/>
                <w:vertAlign w:val="baseline"/>
                <w:lang w:val="en-US" w:eastAsia="zh-CN"/>
              </w:rPr>
              <w:t>城市污泥和建筑垃圾资源化利用项目</w:t>
            </w:r>
          </w:p>
        </w:tc>
        <w:tc>
          <w:tcPr>
            <w:tcW w:w="3569" w:type="dxa"/>
            <w:tcBorders>
              <w:top w:val="single" w:color="auto" w:sz="4" w:space="0"/>
              <w:left w:val="single" w:color="000000" w:sz="4" w:space="0"/>
              <w:bottom w:val="single" w:color="000000" w:sz="4" w:space="0"/>
              <w:right w:val="single" w:color="000000" w:sz="4" w:space="0"/>
            </w:tcBorders>
            <w:vAlign w:val="top"/>
          </w:tcPr>
          <w:p w14:paraId="15BD4603">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left"/>
              <w:textAlignment w:val="auto"/>
              <w:rPr>
                <w:rFonts w:hint="eastAsia" w:ascii="仿宋_GB2312" w:hAnsi="仿宋_GB2312" w:eastAsia="仿宋_GB2312" w:cs="仿宋_GB2312"/>
                <w:color w:val="auto"/>
                <w:sz w:val="24"/>
                <w:szCs w:val="24"/>
                <w:highlight w:val="none"/>
                <w:u w:val="none"/>
                <w:vertAlign w:val="baseline"/>
                <w:lang w:val="en-US" w:eastAsia="zh-CN"/>
              </w:rPr>
            </w:pPr>
            <w:r>
              <w:rPr>
                <w:rFonts w:hint="eastAsia" w:ascii="仿宋_GB2312" w:hAnsi="仿宋_GB2312" w:eastAsia="仿宋_GB2312" w:cs="仿宋_GB2312"/>
                <w:color w:val="auto"/>
                <w:sz w:val="24"/>
                <w:szCs w:val="24"/>
                <w:highlight w:val="none"/>
                <w:u w:val="none"/>
                <w:vertAlign w:val="baseline"/>
                <w:lang w:val="en-US" w:eastAsia="zh-CN"/>
              </w:rPr>
              <w:t>建设一座占地面积</w:t>
            </w:r>
            <w:r>
              <w:rPr>
                <w:rFonts w:hint="default" w:ascii="Times New Roman" w:hAnsi="Times New Roman" w:eastAsia="仿宋_GB2312" w:cs="Times New Roman"/>
                <w:color w:val="auto"/>
                <w:sz w:val="24"/>
                <w:szCs w:val="24"/>
                <w:highlight w:val="none"/>
                <w:u w:val="none"/>
                <w:vertAlign w:val="baseline"/>
                <w:lang w:val="en-US" w:eastAsia="zh-CN"/>
              </w:rPr>
              <w:t>30</w:t>
            </w:r>
            <w:r>
              <w:rPr>
                <w:rFonts w:hint="eastAsia" w:ascii="仿宋_GB2312" w:hAnsi="仿宋_GB2312" w:eastAsia="仿宋_GB2312" w:cs="仿宋_GB2312"/>
                <w:color w:val="auto"/>
                <w:sz w:val="24"/>
                <w:szCs w:val="24"/>
                <w:highlight w:val="none"/>
                <w:u w:val="none"/>
                <w:vertAlign w:val="baseline"/>
                <w:lang w:val="en-US" w:eastAsia="zh-CN"/>
              </w:rPr>
              <w:t>亩，处理规模为</w:t>
            </w:r>
            <w:r>
              <w:rPr>
                <w:rFonts w:hint="default" w:ascii="Times New Roman" w:hAnsi="Times New Roman" w:eastAsia="仿宋_GB2312" w:cs="Times New Roman"/>
                <w:color w:val="auto"/>
                <w:sz w:val="24"/>
                <w:szCs w:val="24"/>
                <w:highlight w:val="none"/>
                <w:u w:val="none"/>
                <w:vertAlign w:val="baseline"/>
                <w:lang w:val="en-US" w:eastAsia="zh-CN"/>
              </w:rPr>
              <w:t>100</w:t>
            </w:r>
            <w:r>
              <w:rPr>
                <w:rFonts w:hint="eastAsia" w:ascii="仿宋_GB2312" w:hAnsi="仿宋_GB2312" w:eastAsia="仿宋_GB2312" w:cs="仿宋_GB2312"/>
                <w:color w:val="auto"/>
                <w:sz w:val="24"/>
                <w:szCs w:val="24"/>
                <w:highlight w:val="none"/>
                <w:u w:val="none"/>
                <w:vertAlign w:val="baseline"/>
                <w:lang w:val="en-US" w:eastAsia="zh-CN"/>
              </w:rPr>
              <w:t>吨/日的城市污泥和建筑垃圾资源化利用处理厂</w:t>
            </w:r>
          </w:p>
        </w:tc>
        <w:tc>
          <w:tcPr>
            <w:tcW w:w="1897" w:type="dxa"/>
            <w:tcBorders>
              <w:top w:val="single" w:color="000000" w:sz="4" w:space="0"/>
              <w:left w:val="single" w:color="000000" w:sz="4" w:space="0"/>
              <w:bottom w:val="single" w:color="000000" w:sz="4" w:space="0"/>
              <w:right w:val="single" w:color="000000" w:sz="4" w:space="0"/>
            </w:tcBorders>
            <w:vAlign w:val="center"/>
          </w:tcPr>
          <w:p w14:paraId="786268A0">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仿宋_GB2312" w:hAnsi="仿宋_GB2312" w:eastAsia="仿宋_GB2312" w:cs="仿宋_GB2312"/>
                <w:color w:val="auto"/>
                <w:sz w:val="24"/>
                <w:szCs w:val="24"/>
                <w:highlight w:val="none"/>
                <w:u w:val="none"/>
                <w:vertAlign w:val="baseline"/>
                <w:lang w:val="en-US" w:eastAsia="zh-CN"/>
              </w:rPr>
            </w:pPr>
            <w:r>
              <w:rPr>
                <w:rFonts w:hint="eastAsia" w:ascii="仿宋_GB2312" w:hAnsi="仿宋_GB2312" w:eastAsia="仿宋_GB2312" w:cs="仿宋_GB2312"/>
                <w:color w:val="auto"/>
                <w:sz w:val="24"/>
                <w:szCs w:val="24"/>
                <w:highlight w:val="none"/>
                <w:u w:val="none"/>
                <w:vertAlign w:val="baseline"/>
                <w:lang w:val="en-US" w:eastAsia="zh-CN"/>
              </w:rPr>
              <w:t>近期</w:t>
            </w:r>
          </w:p>
          <w:p w14:paraId="78198664">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仿宋_GB2312" w:hAnsi="仿宋_GB2312" w:eastAsia="仿宋_GB2312" w:cs="仿宋_GB2312"/>
                <w:color w:val="auto"/>
                <w:sz w:val="24"/>
                <w:szCs w:val="24"/>
                <w:highlight w:val="none"/>
                <w:u w:val="none"/>
                <w:vertAlign w:val="baseline"/>
                <w:lang w:val="en-US" w:eastAsia="zh-CN"/>
              </w:rPr>
            </w:pPr>
            <w:r>
              <w:rPr>
                <w:rFonts w:hint="eastAsia" w:ascii="仿宋_GB2312" w:hAnsi="仿宋_GB2312" w:eastAsia="仿宋_GB2312" w:cs="仿宋_GB2312"/>
                <w:color w:val="auto"/>
                <w:sz w:val="24"/>
                <w:szCs w:val="24"/>
                <w:highlight w:val="none"/>
                <w:u w:val="none"/>
                <w:vertAlign w:val="baseline"/>
                <w:lang w:val="en-US" w:eastAsia="zh-CN"/>
              </w:rPr>
              <w:t>(</w:t>
            </w:r>
            <w:r>
              <w:rPr>
                <w:rFonts w:hint="default" w:ascii="Times New Roman" w:hAnsi="Times New Roman" w:eastAsia="仿宋_GB2312" w:cs="Times New Roman"/>
                <w:color w:val="auto"/>
                <w:sz w:val="24"/>
                <w:szCs w:val="24"/>
                <w:highlight w:val="none"/>
                <w:u w:val="none"/>
                <w:vertAlign w:val="baseline"/>
                <w:lang w:val="en-US" w:eastAsia="zh-CN"/>
              </w:rPr>
              <w:t>2024</w:t>
            </w:r>
            <w:r>
              <w:rPr>
                <w:rFonts w:hint="eastAsia" w:ascii="仿宋_GB2312" w:hAnsi="仿宋_GB2312" w:eastAsia="仿宋_GB2312" w:cs="仿宋_GB2312"/>
                <w:color w:val="auto"/>
                <w:sz w:val="24"/>
                <w:szCs w:val="24"/>
                <w:highlight w:val="none"/>
                <w:u w:val="none"/>
                <w:vertAlign w:val="baseline"/>
                <w:lang w:val="en-US" w:eastAsia="zh-CN"/>
              </w:rPr>
              <w:t>—</w:t>
            </w:r>
            <w:r>
              <w:rPr>
                <w:rFonts w:hint="default" w:ascii="Times New Roman" w:hAnsi="Times New Roman" w:eastAsia="仿宋_GB2312" w:cs="Times New Roman"/>
                <w:color w:val="auto"/>
                <w:sz w:val="24"/>
                <w:szCs w:val="24"/>
                <w:highlight w:val="none"/>
                <w:u w:val="none"/>
                <w:vertAlign w:val="baseline"/>
                <w:lang w:val="en-US" w:eastAsia="zh-CN"/>
              </w:rPr>
              <w:t>2030</w:t>
            </w:r>
            <w:r>
              <w:rPr>
                <w:rFonts w:hint="eastAsia" w:ascii="仿宋_GB2312" w:hAnsi="仿宋_GB2312" w:eastAsia="仿宋_GB2312" w:cs="仿宋_GB2312"/>
                <w:color w:val="auto"/>
                <w:sz w:val="24"/>
                <w:szCs w:val="24"/>
                <w:highlight w:val="none"/>
                <w:u w:val="none"/>
                <w:vertAlign w:val="baseline"/>
                <w:lang w:val="en-US" w:eastAsia="zh-CN"/>
              </w:rPr>
              <w:t>年）</w:t>
            </w:r>
          </w:p>
        </w:tc>
        <w:tc>
          <w:tcPr>
            <w:tcW w:w="1119" w:type="dxa"/>
            <w:tcBorders>
              <w:top w:val="single" w:color="000000" w:sz="4" w:space="0"/>
              <w:left w:val="single" w:color="000000" w:sz="4" w:space="0"/>
              <w:bottom w:val="single" w:color="000000" w:sz="4" w:space="0"/>
              <w:right w:val="single" w:color="000000" w:sz="4" w:space="0"/>
            </w:tcBorders>
            <w:vAlign w:val="center"/>
          </w:tcPr>
          <w:p w14:paraId="24040435">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仿宋_GB2312" w:hAnsi="仿宋_GB2312" w:eastAsia="仿宋_GB2312" w:cs="仿宋_GB2312"/>
                <w:color w:val="auto"/>
                <w:sz w:val="24"/>
                <w:szCs w:val="24"/>
                <w:highlight w:val="none"/>
                <w:u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1000</w:t>
            </w:r>
          </w:p>
        </w:tc>
      </w:tr>
      <w:tr w14:paraId="6313E511">
        <w:tblPrEx>
          <w:tblCellMar>
            <w:top w:w="0" w:type="dxa"/>
            <w:left w:w="57" w:type="dxa"/>
            <w:bottom w:w="0" w:type="dxa"/>
            <w:right w:w="57" w:type="dxa"/>
          </w:tblCellMar>
        </w:tblPrEx>
        <w:trPr>
          <w:trHeight w:val="1218" w:hRule="exact"/>
          <w:jc w:val="center"/>
        </w:trPr>
        <w:tc>
          <w:tcPr>
            <w:tcW w:w="556" w:type="dxa"/>
            <w:tcBorders>
              <w:top w:val="single" w:color="000000" w:sz="4" w:space="0"/>
              <w:left w:val="single" w:color="000000" w:sz="4" w:space="0"/>
              <w:bottom w:val="single" w:color="000000" w:sz="4" w:space="0"/>
              <w:right w:val="single" w:color="000000" w:sz="4" w:space="0"/>
            </w:tcBorders>
            <w:vAlign w:val="center"/>
          </w:tcPr>
          <w:p w14:paraId="6BB53C28">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仿宋_GB2312" w:hAnsi="仿宋_GB2312" w:eastAsia="仿宋_GB2312" w:cs="仿宋_GB2312"/>
                <w:color w:val="auto"/>
                <w:sz w:val="24"/>
                <w:szCs w:val="24"/>
                <w:highlight w:val="none"/>
                <w:u w:val="none"/>
                <w:vertAlign w:val="baseline"/>
                <w:lang w:val="en-US" w:eastAsia="zh-CN"/>
              </w:rPr>
            </w:pPr>
            <w:r>
              <w:rPr>
                <w:rFonts w:hint="default" w:ascii="Times New Roman" w:hAnsi="Times New Roman" w:eastAsia="仿宋_GB2312" w:cs="Times New Roman"/>
                <w:color w:val="auto"/>
                <w:sz w:val="24"/>
                <w:szCs w:val="24"/>
                <w:highlight w:val="none"/>
                <w:u w:val="none"/>
                <w:vertAlign w:val="baseline"/>
                <w:lang w:val="en-US" w:eastAsia="zh-CN"/>
              </w:rPr>
              <w:t>5</w:t>
            </w:r>
          </w:p>
        </w:tc>
        <w:tc>
          <w:tcPr>
            <w:tcW w:w="1995" w:type="dxa"/>
            <w:gridSpan w:val="2"/>
            <w:tcBorders>
              <w:left w:val="single" w:color="000000" w:sz="4" w:space="0"/>
              <w:bottom w:val="single" w:color="000000" w:sz="4" w:space="0"/>
              <w:right w:val="single" w:color="000000" w:sz="4" w:space="0"/>
            </w:tcBorders>
            <w:vAlign w:val="center"/>
          </w:tcPr>
          <w:p w14:paraId="7D1F4825">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仿宋_GB2312" w:hAnsi="仿宋_GB2312" w:eastAsia="仿宋_GB2312" w:cs="仿宋_GB2312"/>
                <w:color w:val="auto"/>
                <w:sz w:val="24"/>
                <w:szCs w:val="24"/>
                <w:highlight w:val="none"/>
                <w:u w:val="none"/>
                <w:vertAlign w:val="baseline"/>
                <w:lang w:val="en-US" w:eastAsia="zh-CN"/>
              </w:rPr>
            </w:pPr>
            <w:r>
              <w:rPr>
                <w:rFonts w:hint="eastAsia" w:ascii="仿宋_GB2312" w:hAnsi="仿宋_GB2312" w:eastAsia="仿宋_GB2312" w:cs="仿宋_GB2312"/>
                <w:color w:val="auto"/>
                <w:sz w:val="24"/>
                <w:szCs w:val="24"/>
                <w:highlight w:val="none"/>
                <w:u w:val="none"/>
                <w:vertAlign w:val="baseline"/>
                <w:lang w:val="en-US" w:eastAsia="zh-CN"/>
              </w:rPr>
              <w:t>水土保持</w:t>
            </w:r>
          </w:p>
        </w:tc>
        <w:tc>
          <w:tcPr>
            <w:tcW w:w="3569" w:type="dxa"/>
            <w:tcBorders>
              <w:top w:val="single" w:color="000000" w:sz="4" w:space="0"/>
              <w:left w:val="single" w:color="000000" w:sz="4" w:space="0"/>
              <w:bottom w:val="single" w:color="000000" w:sz="4" w:space="0"/>
              <w:right w:val="single" w:color="000000" w:sz="4" w:space="0"/>
            </w:tcBorders>
            <w:vAlign w:val="top"/>
          </w:tcPr>
          <w:p w14:paraId="45454081">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left"/>
              <w:textAlignment w:val="auto"/>
              <w:rPr>
                <w:rFonts w:hint="eastAsia" w:ascii="仿宋_GB2312" w:hAnsi="仿宋_GB2312" w:eastAsia="仿宋_GB2312" w:cs="仿宋_GB2312"/>
                <w:color w:val="auto"/>
                <w:sz w:val="24"/>
                <w:szCs w:val="24"/>
                <w:highlight w:val="none"/>
                <w:u w:val="none"/>
                <w:vertAlign w:val="baseline"/>
                <w:lang w:val="en-US" w:eastAsia="zh-CN"/>
              </w:rPr>
            </w:pPr>
            <w:r>
              <w:rPr>
                <w:rFonts w:hint="eastAsia" w:ascii="仿宋_GB2312" w:hAnsi="仿宋_GB2312" w:eastAsia="仿宋_GB2312" w:cs="仿宋_GB2312"/>
                <w:color w:val="auto"/>
                <w:sz w:val="24"/>
                <w:szCs w:val="24"/>
                <w:highlight w:val="none"/>
                <w:u w:val="none"/>
                <w:vertAlign w:val="baseline"/>
                <w:lang w:val="en-US" w:eastAsia="zh-CN"/>
              </w:rPr>
              <w:t>应避免建筑垃圾处理设施建设过程中缺乏水土保持投资导致水土保持工作无法开展的情况</w:t>
            </w:r>
          </w:p>
        </w:tc>
        <w:tc>
          <w:tcPr>
            <w:tcW w:w="1897" w:type="dxa"/>
            <w:tcBorders>
              <w:top w:val="single" w:color="000000" w:sz="4" w:space="0"/>
              <w:left w:val="single" w:color="000000" w:sz="4" w:space="0"/>
              <w:bottom w:val="single" w:color="000000" w:sz="4" w:space="0"/>
              <w:right w:val="single" w:color="000000" w:sz="4" w:space="0"/>
            </w:tcBorders>
            <w:vAlign w:val="center"/>
          </w:tcPr>
          <w:p w14:paraId="1A96DB86">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仿宋_GB2312" w:hAnsi="仿宋_GB2312" w:eastAsia="仿宋_GB2312" w:cs="仿宋_GB2312"/>
                <w:color w:val="auto"/>
                <w:sz w:val="24"/>
                <w:szCs w:val="24"/>
                <w:highlight w:val="none"/>
                <w:u w:val="none"/>
                <w:vertAlign w:val="baseline"/>
                <w:lang w:val="en-US" w:eastAsia="zh-CN"/>
              </w:rPr>
            </w:pPr>
            <w:r>
              <w:rPr>
                <w:rFonts w:hint="eastAsia" w:ascii="仿宋_GB2312" w:hAnsi="仿宋_GB2312" w:eastAsia="仿宋_GB2312" w:cs="仿宋_GB2312"/>
                <w:color w:val="auto"/>
                <w:sz w:val="24"/>
                <w:szCs w:val="24"/>
                <w:highlight w:val="none"/>
                <w:u w:val="none"/>
                <w:vertAlign w:val="baseline"/>
                <w:lang w:val="en-US" w:eastAsia="zh-CN"/>
              </w:rPr>
              <w:t>近期</w:t>
            </w:r>
          </w:p>
          <w:p w14:paraId="1DBC37A9">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仿宋_GB2312" w:hAnsi="仿宋_GB2312" w:eastAsia="仿宋_GB2312" w:cs="仿宋_GB2312"/>
                <w:color w:val="auto"/>
                <w:sz w:val="24"/>
                <w:szCs w:val="24"/>
                <w:highlight w:val="none"/>
                <w:u w:val="none"/>
                <w:vertAlign w:val="baseline"/>
                <w:lang w:val="en-US" w:eastAsia="zh-CN"/>
              </w:rPr>
            </w:pPr>
            <w:r>
              <w:rPr>
                <w:rFonts w:hint="eastAsia" w:ascii="仿宋_GB2312" w:hAnsi="仿宋_GB2312" w:eastAsia="仿宋_GB2312" w:cs="仿宋_GB2312"/>
                <w:color w:val="auto"/>
                <w:sz w:val="24"/>
                <w:szCs w:val="24"/>
                <w:highlight w:val="none"/>
                <w:u w:val="none"/>
                <w:vertAlign w:val="baseline"/>
                <w:lang w:val="en-US" w:eastAsia="zh-CN"/>
              </w:rPr>
              <w:t>(</w:t>
            </w:r>
            <w:r>
              <w:rPr>
                <w:rFonts w:hint="default" w:ascii="Times New Roman" w:hAnsi="Times New Roman" w:eastAsia="仿宋_GB2312" w:cs="Times New Roman"/>
                <w:color w:val="auto"/>
                <w:sz w:val="24"/>
                <w:szCs w:val="24"/>
                <w:highlight w:val="none"/>
                <w:u w:val="none"/>
                <w:vertAlign w:val="baseline"/>
                <w:lang w:val="en-US" w:eastAsia="zh-CN"/>
              </w:rPr>
              <w:t>2024</w:t>
            </w:r>
            <w:r>
              <w:rPr>
                <w:rFonts w:hint="eastAsia" w:ascii="仿宋_GB2312" w:hAnsi="仿宋_GB2312" w:eastAsia="仿宋_GB2312" w:cs="仿宋_GB2312"/>
                <w:color w:val="auto"/>
                <w:sz w:val="24"/>
                <w:szCs w:val="24"/>
                <w:highlight w:val="none"/>
                <w:u w:val="none"/>
                <w:vertAlign w:val="baseline"/>
                <w:lang w:val="en-US" w:eastAsia="zh-CN"/>
              </w:rPr>
              <w:t>—</w:t>
            </w:r>
            <w:r>
              <w:rPr>
                <w:rFonts w:hint="default" w:ascii="Times New Roman" w:hAnsi="Times New Roman" w:eastAsia="仿宋_GB2312" w:cs="Times New Roman"/>
                <w:color w:val="auto"/>
                <w:sz w:val="24"/>
                <w:szCs w:val="24"/>
                <w:highlight w:val="none"/>
                <w:u w:val="none"/>
                <w:vertAlign w:val="baseline"/>
                <w:lang w:val="en-US" w:eastAsia="zh-CN"/>
              </w:rPr>
              <w:t>2030</w:t>
            </w:r>
            <w:r>
              <w:rPr>
                <w:rFonts w:hint="eastAsia" w:ascii="仿宋_GB2312" w:hAnsi="仿宋_GB2312" w:eastAsia="仿宋_GB2312" w:cs="仿宋_GB2312"/>
                <w:color w:val="auto"/>
                <w:sz w:val="24"/>
                <w:szCs w:val="24"/>
                <w:highlight w:val="none"/>
                <w:u w:val="none"/>
                <w:vertAlign w:val="baseline"/>
                <w:lang w:val="en-US" w:eastAsia="zh-CN"/>
              </w:rPr>
              <w:t>年）</w:t>
            </w:r>
          </w:p>
        </w:tc>
        <w:tc>
          <w:tcPr>
            <w:tcW w:w="1119" w:type="dxa"/>
            <w:tcBorders>
              <w:top w:val="single" w:color="000000" w:sz="4" w:space="0"/>
              <w:left w:val="single" w:color="000000" w:sz="4" w:space="0"/>
              <w:bottom w:val="single" w:color="000000" w:sz="4" w:space="0"/>
              <w:right w:val="single" w:color="000000" w:sz="4" w:space="0"/>
            </w:tcBorders>
            <w:vAlign w:val="center"/>
          </w:tcPr>
          <w:p w14:paraId="1B091953">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仿宋_GB2312" w:hAnsi="仿宋_GB2312" w:eastAsia="仿宋_GB2312" w:cs="仿宋_GB2312"/>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200</w:t>
            </w:r>
          </w:p>
        </w:tc>
      </w:tr>
      <w:tr w14:paraId="448B81E2">
        <w:tblPrEx>
          <w:tblCellMar>
            <w:top w:w="0" w:type="dxa"/>
            <w:left w:w="57" w:type="dxa"/>
            <w:bottom w:w="0" w:type="dxa"/>
            <w:right w:w="57" w:type="dxa"/>
          </w:tblCellMar>
        </w:tblPrEx>
        <w:trPr>
          <w:trHeight w:val="825" w:hRule="exact"/>
          <w:jc w:val="center"/>
        </w:trPr>
        <w:tc>
          <w:tcPr>
            <w:tcW w:w="556" w:type="dxa"/>
            <w:tcBorders>
              <w:top w:val="single" w:color="000000" w:sz="4" w:space="0"/>
              <w:left w:val="single" w:color="000000" w:sz="4" w:space="0"/>
              <w:bottom w:val="single" w:color="000000" w:sz="4" w:space="0"/>
              <w:right w:val="single" w:color="000000" w:sz="4" w:space="0"/>
            </w:tcBorders>
            <w:vAlign w:val="center"/>
          </w:tcPr>
          <w:p w14:paraId="40CC40F0">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仿宋_GB2312" w:hAnsi="仿宋_GB2312" w:eastAsia="仿宋_GB2312" w:cs="仿宋_GB2312"/>
                <w:color w:val="auto"/>
                <w:sz w:val="24"/>
                <w:szCs w:val="24"/>
                <w:highlight w:val="none"/>
                <w:u w:val="none"/>
                <w:vertAlign w:val="baseline"/>
                <w:lang w:eastAsia="zh-CN"/>
              </w:rPr>
            </w:pPr>
            <w:r>
              <w:rPr>
                <w:rFonts w:hint="default" w:ascii="Times New Roman" w:hAnsi="Times New Roman" w:eastAsia="仿宋_GB2312" w:cs="Times New Roman"/>
                <w:color w:val="auto"/>
                <w:sz w:val="24"/>
                <w:szCs w:val="24"/>
                <w:highlight w:val="none"/>
                <w:u w:val="none"/>
                <w:vertAlign w:val="baseline"/>
                <w:lang w:val="en-US" w:eastAsia="zh-CN"/>
              </w:rPr>
              <w:t>6</w:t>
            </w:r>
          </w:p>
        </w:tc>
        <w:tc>
          <w:tcPr>
            <w:tcW w:w="1995" w:type="dxa"/>
            <w:gridSpan w:val="2"/>
            <w:tcBorders>
              <w:top w:val="single" w:color="000000" w:sz="4" w:space="0"/>
              <w:left w:val="single" w:color="000000" w:sz="4" w:space="0"/>
              <w:bottom w:val="single" w:color="000000" w:sz="4" w:space="0"/>
              <w:right w:val="single" w:color="000000" w:sz="4" w:space="0"/>
            </w:tcBorders>
            <w:vAlign w:val="center"/>
          </w:tcPr>
          <w:p w14:paraId="06FE4C7C">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仿宋_GB2312" w:hAnsi="仿宋_GB2312" w:eastAsia="仿宋_GB2312" w:cs="仿宋_GB2312"/>
                <w:color w:val="auto"/>
                <w:sz w:val="24"/>
                <w:szCs w:val="24"/>
                <w:highlight w:val="none"/>
                <w:u w:val="none"/>
                <w:vertAlign w:val="baseline"/>
              </w:rPr>
            </w:pPr>
            <w:r>
              <w:rPr>
                <w:rFonts w:hint="eastAsia" w:ascii="仿宋_GB2312" w:hAnsi="仿宋_GB2312" w:eastAsia="仿宋_GB2312" w:cs="仿宋_GB2312"/>
                <w:color w:val="auto"/>
                <w:sz w:val="24"/>
                <w:szCs w:val="24"/>
                <w:highlight w:val="none"/>
                <w:u w:val="none"/>
                <w:vertAlign w:val="baseline"/>
              </w:rPr>
              <w:t>信息化管理系统</w:t>
            </w:r>
          </w:p>
        </w:tc>
        <w:tc>
          <w:tcPr>
            <w:tcW w:w="3569" w:type="dxa"/>
            <w:tcBorders>
              <w:top w:val="single" w:color="000000" w:sz="4" w:space="0"/>
              <w:left w:val="single" w:color="000000" w:sz="4" w:space="0"/>
              <w:bottom w:val="single" w:color="000000" w:sz="4" w:space="0"/>
              <w:right w:val="single" w:color="000000" w:sz="4" w:space="0"/>
            </w:tcBorders>
            <w:vAlign w:val="center"/>
          </w:tcPr>
          <w:p w14:paraId="11A164EB">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both"/>
              <w:textAlignment w:val="auto"/>
              <w:rPr>
                <w:rFonts w:hint="eastAsia" w:ascii="仿宋_GB2312" w:hAnsi="仿宋_GB2312" w:eastAsia="仿宋_GB2312" w:cs="仿宋_GB2312"/>
                <w:color w:val="auto"/>
                <w:sz w:val="24"/>
                <w:szCs w:val="24"/>
                <w:highlight w:val="none"/>
                <w:u w:val="none"/>
                <w:vertAlign w:val="baseline"/>
              </w:rPr>
            </w:pPr>
            <w:r>
              <w:rPr>
                <w:rFonts w:hint="eastAsia" w:ascii="仿宋_GB2312" w:hAnsi="仿宋_GB2312" w:eastAsia="仿宋_GB2312" w:cs="仿宋_GB2312"/>
                <w:color w:val="auto"/>
                <w:sz w:val="24"/>
                <w:szCs w:val="24"/>
                <w:highlight w:val="none"/>
                <w:u w:val="none"/>
                <w:vertAlign w:val="baseline"/>
              </w:rPr>
              <w:t>现有信息化管理系统优化</w:t>
            </w:r>
          </w:p>
        </w:tc>
        <w:tc>
          <w:tcPr>
            <w:tcW w:w="1897" w:type="dxa"/>
            <w:tcBorders>
              <w:top w:val="single" w:color="000000" w:sz="4" w:space="0"/>
              <w:left w:val="single" w:color="000000" w:sz="4" w:space="0"/>
              <w:bottom w:val="single" w:color="000000" w:sz="4" w:space="0"/>
              <w:right w:val="single" w:color="000000" w:sz="4" w:space="0"/>
            </w:tcBorders>
            <w:vAlign w:val="center"/>
          </w:tcPr>
          <w:p w14:paraId="3715744B">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仿宋_GB2312" w:hAnsi="仿宋_GB2312" w:eastAsia="仿宋_GB2312" w:cs="仿宋_GB2312"/>
                <w:color w:val="auto"/>
                <w:sz w:val="24"/>
                <w:szCs w:val="24"/>
                <w:highlight w:val="none"/>
                <w:u w:val="none"/>
                <w:vertAlign w:val="baseline"/>
              </w:rPr>
            </w:pPr>
            <w:r>
              <w:rPr>
                <w:rFonts w:hint="eastAsia" w:ascii="仿宋_GB2312" w:hAnsi="仿宋_GB2312" w:eastAsia="仿宋_GB2312" w:cs="仿宋_GB2312"/>
                <w:color w:val="auto"/>
                <w:sz w:val="24"/>
                <w:szCs w:val="24"/>
                <w:highlight w:val="none"/>
                <w:u w:val="none"/>
                <w:vertAlign w:val="baseline"/>
              </w:rPr>
              <w:t>近期</w:t>
            </w:r>
          </w:p>
          <w:p w14:paraId="47DB5814">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仿宋_GB2312" w:hAnsi="仿宋_GB2312" w:eastAsia="仿宋_GB2312" w:cs="仿宋_GB2312"/>
                <w:color w:val="auto"/>
                <w:sz w:val="24"/>
                <w:szCs w:val="24"/>
                <w:highlight w:val="none"/>
                <w:u w:val="none"/>
                <w:vertAlign w:val="baseline"/>
              </w:rPr>
            </w:pPr>
            <w:r>
              <w:rPr>
                <w:rFonts w:hint="eastAsia" w:ascii="仿宋_GB2312" w:hAnsi="仿宋_GB2312" w:eastAsia="仿宋_GB2312" w:cs="仿宋_GB2312"/>
                <w:color w:val="auto"/>
                <w:sz w:val="24"/>
                <w:szCs w:val="24"/>
                <w:highlight w:val="none"/>
                <w:u w:val="none"/>
                <w:vertAlign w:val="baseline"/>
                <w:lang w:val="en-US" w:eastAsia="zh-CN"/>
              </w:rPr>
              <w:t>(</w:t>
            </w:r>
            <w:r>
              <w:rPr>
                <w:rFonts w:hint="default" w:ascii="Times New Roman" w:hAnsi="Times New Roman" w:eastAsia="仿宋_GB2312" w:cs="Times New Roman"/>
                <w:color w:val="auto"/>
                <w:sz w:val="24"/>
                <w:szCs w:val="24"/>
                <w:highlight w:val="none"/>
                <w:u w:val="none"/>
                <w:vertAlign w:val="baseline"/>
              </w:rPr>
              <w:t>2024</w:t>
            </w:r>
            <w:r>
              <w:rPr>
                <w:rFonts w:hint="eastAsia" w:ascii="仿宋_GB2312" w:hAnsi="仿宋_GB2312" w:eastAsia="仿宋_GB2312" w:cs="仿宋_GB2312"/>
                <w:color w:val="auto"/>
                <w:sz w:val="24"/>
                <w:szCs w:val="24"/>
                <w:highlight w:val="none"/>
                <w:u w:val="none"/>
                <w:vertAlign w:val="baseline"/>
                <w:lang w:val="en-US" w:eastAsia="zh-CN"/>
              </w:rPr>
              <w:t>—</w:t>
            </w:r>
            <w:r>
              <w:rPr>
                <w:rFonts w:hint="default" w:ascii="Times New Roman" w:hAnsi="Times New Roman" w:eastAsia="仿宋_GB2312" w:cs="Times New Roman"/>
                <w:color w:val="auto"/>
                <w:sz w:val="24"/>
                <w:szCs w:val="24"/>
                <w:highlight w:val="none"/>
                <w:u w:val="none"/>
                <w:vertAlign w:val="baseline"/>
              </w:rPr>
              <w:t>2030</w:t>
            </w:r>
            <w:r>
              <w:rPr>
                <w:rFonts w:hint="eastAsia" w:ascii="仿宋_GB2312" w:hAnsi="仿宋_GB2312" w:eastAsia="仿宋_GB2312" w:cs="仿宋_GB2312"/>
                <w:color w:val="auto"/>
                <w:sz w:val="24"/>
                <w:szCs w:val="24"/>
                <w:highlight w:val="none"/>
                <w:u w:val="none"/>
                <w:vertAlign w:val="baseline"/>
              </w:rPr>
              <w:t>年） 年）</w:t>
            </w:r>
          </w:p>
        </w:tc>
        <w:tc>
          <w:tcPr>
            <w:tcW w:w="1119" w:type="dxa"/>
            <w:tcBorders>
              <w:top w:val="single" w:color="000000" w:sz="4" w:space="0"/>
              <w:left w:val="single" w:color="000000" w:sz="4" w:space="0"/>
              <w:bottom w:val="single" w:color="000000" w:sz="4" w:space="0"/>
              <w:right w:val="single" w:color="000000" w:sz="4" w:space="0"/>
            </w:tcBorders>
            <w:vAlign w:val="center"/>
          </w:tcPr>
          <w:p w14:paraId="72CE7729">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仿宋_GB2312" w:hAnsi="仿宋_GB2312" w:eastAsia="仿宋_GB2312" w:cs="仿宋_GB2312"/>
                <w:color w:val="auto"/>
                <w:sz w:val="24"/>
                <w:szCs w:val="24"/>
                <w:highlight w:val="none"/>
                <w:u w:val="none"/>
                <w:vertAlign w:val="baseline"/>
              </w:rPr>
            </w:pPr>
            <w:r>
              <w:rPr>
                <w:rFonts w:hint="default" w:ascii="Times New Roman" w:hAnsi="Times New Roman" w:eastAsia="仿宋_GB2312" w:cs="Times New Roman"/>
                <w:color w:val="auto"/>
                <w:sz w:val="24"/>
                <w:szCs w:val="24"/>
                <w:highlight w:val="none"/>
                <w:u w:val="none"/>
                <w:vertAlign w:val="baseline"/>
                <w:lang w:val="en-US" w:eastAsia="zh-CN"/>
              </w:rPr>
              <w:t>40</w:t>
            </w:r>
            <w:r>
              <w:rPr>
                <w:rFonts w:hint="default" w:ascii="Times New Roman" w:hAnsi="Times New Roman" w:eastAsia="仿宋_GB2312" w:cs="Times New Roman"/>
                <w:color w:val="auto"/>
                <w:sz w:val="24"/>
                <w:szCs w:val="24"/>
                <w:highlight w:val="none"/>
                <w:u w:val="none"/>
                <w:vertAlign w:val="baseline"/>
              </w:rPr>
              <w:t>0</w:t>
            </w:r>
          </w:p>
        </w:tc>
      </w:tr>
      <w:tr w14:paraId="6AE3E65F">
        <w:tblPrEx>
          <w:tblCellMar>
            <w:top w:w="0" w:type="dxa"/>
            <w:left w:w="57" w:type="dxa"/>
            <w:bottom w:w="0" w:type="dxa"/>
            <w:right w:w="57" w:type="dxa"/>
          </w:tblCellMar>
        </w:tblPrEx>
        <w:trPr>
          <w:trHeight w:val="456" w:hRule="exact"/>
          <w:jc w:val="center"/>
        </w:trPr>
        <w:tc>
          <w:tcPr>
            <w:tcW w:w="6120" w:type="dxa"/>
            <w:gridSpan w:val="4"/>
            <w:tcBorders>
              <w:top w:val="single" w:color="000000" w:sz="4" w:space="0"/>
              <w:left w:val="single" w:color="000000" w:sz="4" w:space="0"/>
              <w:bottom w:val="single" w:color="000000" w:sz="4" w:space="0"/>
              <w:right w:val="single" w:color="000000" w:sz="4" w:space="0"/>
            </w:tcBorders>
          </w:tcPr>
          <w:p w14:paraId="7FB6A3D2">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仿宋_GB2312" w:hAnsi="仿宋_GB2312" w:eastAsia="仿宋_GB2312" w:cs="仿宋_GB2312"/>
                <w:color w:val="auto"/>
                <w:sz w:val="24"/>
                <w:szCs w:val="24"/>
                <w:highlight w:val="none"/>
                <w:u w:val="none"/>
                <w:vertAlign w:val="baseline"/>
                <w:lang w:val="en-US"/>
              </w:rPr>
            </w:pPr>
            <w:r>
              <w:rPr>
                <w:rFonts w:hint="eastAsia" w:ascii="仿宋_GB2312" w:hAnsi="仿宋_GB2312" w:eastAsia="仿宋_GB2312" w:cs="仿宋_GB2312"/>
                <w:color w:val="auto"/>
                <w:sz w:val="24"/>
                <w:szCs w:val="24"/>
                <w:highlight w:val="none"/>
                <w:u w:val="none"/>
                <w:vertAlign w:val="baseline"/>
                <w:lang w:val="en-US"/>
              </w:rPr>
              <w:t>总投资</w:t>
            </w:r>
          </w:p>
        </w:tc>
        <w:tc>
          <w:tcPr>
            <w:tcW w:w="1897" w:type="dxa"/>
            <w:tcBorders>
              <w:top w:val="single" w:color="000000" w:sz="4" w:space="0"/>
              <w:left w:val="single" w:color="000000" w:sz="4" w:space="0"/>
              <w:bottom w:val="single" w:color="000000" w:sz="4" w:space="0"/>
              <w:right w:val="single" w:color="000000" w:sz="4" w:space="0"/>
            </w:tcBorders>
          </w:tcPr>
          <w:p w14:paraId="5829A2C9">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仿宋_GB2312" w:hAnsi="仿宋_GB2312" w:eastAsia="仿宋_GB2312" w:cs="仿宋_GB2312"/>
                <w:color w:val="auto"/>
                <w:sz w:val="24"/>
                <w:szCs w:val="24"/>
                <w:highlight w:val="none"/>
                <w:u w:val="none"/>
                <w:vertAlign w:val="baseline"/>
                <w:lang w:val="en-US"/>
              </w:rPr>
            </w:pPr>
          </w:p>
        </w:tc>
        <w:tc>
          <w:tcPr>
            <w:tcW w:w="1119" w:type="dxa"/>
            <w:tcBorders>
              <w:top w:val="single" w:color="000000" w:sz="4" w:space="0"/>
              <w:left w:val="single" w:color="000000" w:sz="4" w:space="0"/>
              <w:bottom w:val="single" w:color="000000" w:sz="4" w:space="0"/>
              <w:right w:val="single" w:color="000000" w:sz="4" w:space="0"/>
            </w:tcBorders>
          </w:tcPr>
          <w:p w14:paraId="33BF248F">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仿宋_GB2312" w:hAnsi="仿宋_GB2312" w:eastAsia="仿宋_GB2312" w:cs="仿宋_GB2312"/>
                <w:color w:val="auto"/>
                <w:sz w:val="24"/>
                <w:szCs w:val="24"/>
                <w:highlight w:val="none"/>
                <w:u w:val="none"/>
                <w:vertAlign w:val="baseline"/>
                <w:lang w:val="en-US" w:eastAsia="zh-CN"/>
              </w:rPr>
            </w:pPr>
            <w:r>
              <w:rPr>
                <w:rFonts w:hint="default" w:ascii="Times New Roman" w:hAnsi="Times New Roman" w:eastAsia="仿宋_GB2312" w:cs="Times New Roman"/>
                <w:color w:val="auto"/>
                <w:sz w:val="24"/>
                <w:szCs w:val="24"/>
                <w:highlight w:val="none"/>
                <w:u w:val="none"/>
                <w:vertAlign w:val="baseline"/>
                <w:lang w:val="en-US" w:eastAsia="zh-CN"/>
              </w:rPr>
              <w:t>4500</w:t>
            </w:r>
          </w:p>
        </w:tc>
      </w:tr>
    </w:tbl>
    <w:p w14:paraId="4FB53EA6">
      <w:pPr>
        <w:pageBreakBefore w:val="0"/>
        <w:kinsoku/>
        <w:wordWrap/>
        <w:topLinePunct w:val="0"/>
        <w:bidi w:val="0"/>
        <w:spacing w:beforeAutospacing="0" w:afterAutospacing="0" w:line="560" w:lineRule="exact"/>
        <w:ind w:left="0" w:leftChars="0" w:firstLine="0" w:firstLineChars="0"/>
        <w:rPr>
          <w:rFonts w:hint="eastAsia" w:ascii="Times New Roman" w:hAnsi="Times New Roman"/>
          <w:color w:val="auto"/>
          <w:highlight w:val="none"/>
          <w:u w:val="none"/>
          <w:lang w:val="en-US" w:eastAsia="zh-CN"/>
        </w:rPr>
      </w:pPr>
      <w:r>
        <w:rPr>
          <w:rFonts w:hint="eastAsia" w:ascii="Times New Roman" w:hAnsi="Times New Roman"/>
          <w:color w:val="auto"/>
          <w:highlight w:val="none"/>
          <w:u w:val="none"/>
          <w:lang w:val="en-US" w:eastAsia="zh-CN"/>
        </w:rPr>
        <w:br w:type="page"/>
      </w:r>
    </w:p>
    <w:p w14:paraId="64BFBF8A">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leftChars="0"/>
        <w:textAlignment w:val="auto"/>
        <w:outlineLvl w:val="0"/>
        <w:rPr>
          <w:rFonts w:hint="eastAsia" w:ascii="Times New Roman" w:hAnsi="Times New Roman" w:eastAsia="仿宋_GB2312" w:cs="Times New Roman"/>
          <w:b w:val="0"/>
          <w:bCs w:val="0"/>
          <w:color w:val="auto"/>
          <w:kern w:val="2"/>
          <w:sz w:val="32"/>
          <w:szCs w:val="32"/>
          <w:highlight w:val="none"/>
          <w:u w:val="none"/>
          <w:lang w:val="en-US" w:eastAsia="zh-CN" w:bidi="ar-SA"/>
        </w:rPr>
      </w:pPr>
      <w:bookmarkStart w:id="149" w:name="_Toc7196"/>
      <w:r>
        <w:rPr>
          <w:rFonts w:hint="eastAsia" w:ascii="黑体" w:hAnsi="黑体" w:eastAsia="黑体" w:cs="黑体"/>
          <w:b w:val="0"/>
          <w:bCs w:val="0"/>
          <w:color w:val="auto"/>
          <w:kern w:val="2"/>
          <w:sz w:val="32"/>
          <w:szCs w:val="32"/>
          <w:highlight w:val="none"/>
          <w:u w:val="none"/>
          <w:lang w:val="en-US" w:eastAsia="zh-CN" w:bidi="ar-SA"/>
        </w:rPr>
        <w:t>十三、规划实施保障措施</w:t>
      </w:r>
      <w:bookmarkEnd w:id="148"/>
      <w:bookmarkEnd w:id="149"/>
    </w:p>
    <w:p w14:paraId="6215497E">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leftChars="0"/>
        <w:textAlignment w:val="auto"/>
        <w:outlineLvl w:val="1"/>
        <w:rPr>
          <w:rFonts w:hint="eastAsia" w:ascii="Times New Roman" w:hAnsi="Times New Roman" w:eastAsia="仿宋_GB2312" w:cs="Times New Roman"/>
          <w:b w:val="0"/>
          <w:bCs w:val="0"/>
          <w:color w:val="auto"/>
          <w:kern w:val="2"/>
          <w:sz w:val="32"/>
          <w:szCs w:val="32"/>
          <w:highlight w:val="none"/>
          <w:u w:val="none"/>
          <w:lang w:val="en-US" w:eastAsia="zh-CN" w:bidi="ar-SA"/>
        </w:rPr>
      </w:pPr>
      <w:bookmarkStart w:id="150" w:name="_Toc16065"/>
      <w:bookmarkStart w:id="151" w:name="_Toc788"/>
      <w:r>
        <w:rPr>
          <w:rFonts w:hint="eastAsia" w:ascii="楷体_GB2312" w:hAnsi="楷体_GB2312" w:eastAsia="楷体_GB2312" w:cs="楷体_GB2312"/>
          <w:b w:val="0"/>
          <w:bCs w:val="0"/>
          <w:color w:val="auto"/>
          <w:kern w:val="2"/>
          <w:sz w:val="32"/>
          <w:szCs w:val="32"/>
          <w:highlight w:val="none"/>
          <w:u w:val="none"/>
          <w:lang w:val="en-US" w:eastAsia="zh-CN" w:bidi="ar-SA"/>
        </w:rPr>
        <w:t>（一）政策保障</w:t>
      </w:r>
      <w:bookmarkEnd w:id="150"/>
      <w:bookmarkEnd w:id="151"/>
    </w:p>
    <w:p w14:paraId="677B6998">
      <w:pPr>
        <w:pageBreakBefore w:val="0"/>
        <w:kinsoku/>
        <w:wordWrap/>
        <w:topLinePunct w:val="0"/>
        <w:bidi w:val="0"/>
        <w:spacing w:beforeAutospacing="0" w:afterAutospacing="0" w:line="560" w:lineRule="exact"/>
        <w:ind w:left="0" w:leftChars="0"/>
        <w:rPr>
          <w:rFonts w:hint="eastAsia" w:ascii="Times New Roman" w:hAnsi="Times New Roman" w:eastAsia="仿宋_GB2312" w:cs="Times New Roman"/>
          <w:b w:val="0"/>
          <w:bCs w:val="0"/>
          <w:color w:val="auto"/>
          <w:kern w:val="2"/>
          <w:sz w:val="32"/>
          <w:szCs w:val="32"/>
          <w:highlight w:val="none"/>
          <w:u w:val="none"/>
          <w:lang w:val="en-US" w:eastAsia="zh-CN" w:bidi="ar-SA"/>
        </w:rPr>
      </w:pPr>
      <w:r>
        <w:rPr>
          <w:rFonts w:hint="eastAsia" w:ascii="Times New Roman" w:hAnsi="Times New Roman" w:eastAsia="仿宋_GB2312" w:cs="Times New Roman"/>
          <w:b w:val="0"/>
          <w:bCs w:val="0"/>
          <w:color w:val="auto"/>
          <w:kern w:val="2"/>
          <w:sz w:val="32"/>
          <w:szCs w:val="32"/>
          <w:highlight w:val="none"/>
          <w:u w:val="none"/>
          <w:lang w:val="en-US" w:eastAsia="zh-CN" w:bidi="ar-SA"/>
        </w:rPr>
        <w:t>用足用好国家和</w:t>
      </w:r>
      <w:r>
        <w:rPr>
          <w:rFonts w:hint="eastAsia" w:eastAsia="仿宋_GB2312" w:cs="Times New Roman"/>
          <w:b w:val="0"/>
          <w:bCs w:val="0"/>
          <w:color w:val="auto"/>
          <w:kern w:val="2"/>
          <w:sz w:val="32"/>
          <w:szCs w:val="32"/>
          <w:highlight w:val="none"/>
          <w:u w:val="none"/>
          <w:lang w:val="en-US" w:eastAsia="zh-CN" w:bidi="ar-SA"/>
        </w:rPr>
        <w:t>自治区、柳州市</w:t>
      </w:r>
      <w:r>
        <w:rPr>
          <w:rFonts w:hint="eastAsia" w:ascii="Times New Roman" w:hAnsi="Times New Roman" w:eastAsia="仿宋_GB2312" w:cs="Times New Roman"/>
          <w:b w:val="0"/>
          <w:bCs w:val="0"/>
          <w:color w:val="auto"/>
          <w:kern w:val="2"/>
          <w:sz w:val="32"/>
          <w:szCs w:val="32"/>
          <w:highlight w:val="none"/>
          <w:u w:val="none"/>
          <w:lang w:val="en-US" w:eastAsia="zh-CN" w:bidi="ar-SA"/>
        </w:rPr>
        <w:t>在生态文明、循环经济、资源综合利用、绿色建筑等方面的优惠政策。制定建筑垃圾中长期发展规划，并编制从源头治理、运输监管、消纳处置、综合利用到考核考评等方面的相关制度措施。加强建筑垃圾处理设施项目建设用地的保障工作。积极探索源头减量鼓励政策，制定可再生资源利用管理办法，并出台建筑垃圾资源化利用产业的扶持、财政优惠以及产品推广应用等政策措施。</w:t>
      </w:r>
    </w:p>
    <w:p w14:paraId="70C4F348">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leftChars="0"/>
        <w:textAlignment w:val="auto"/>
        <w:outlineLvl w:val="1"/>
        <w:rPr>
          <w:rFonts w:hint="eastAsia" w:ascii="Times New Roman" w:hAnsi="Times New Roman" w:eastAsia="仿宋_GB2312" w:cs="Times New Roman"/>
          <w:b w:val="0"/>
          <w:bCs w:val="0"/>
          <w:color w:val="auto"/>
          <w:kern w:val="2"/>
          <w:sz w:val="32"/>
          <w:szCs w:val="32"/>
          <w:highlight w:val="none"/>
          <w:u w:val="none"/>
          <w:lang w:val="en-US" w:eastAsia="zh-CN" w:bidi="ar-SA"/>
        </w:rPr>
      </w:pPr>
      <w:bookmarkStart w:id="152" w:name="_Toc18086"/>
      <w:bookmarkStart w:id="153" w:name="_Toc22324"/>
      <w:r>
        <w:rPr>
          <w:rFonts w:hint="eastAsia" w:ascii="楷体_GB2312" w:hAnsi="楷体_GB2312" w:eastAsia="楷体_GB2312" w:cs="楷体_GB2312"/>
          <w:b w:val="0"/>
          <w:bCs w:val="0"/>
          <w:color w:val="auto"/>
          <w:kern w:val="2"/>
          <w:sz w:val="32"/>
          <w:szCs w:val="32"/>
          <w:highlight w:val="none"/>
          <w:u w:val="none"/>
          <w:lang w:val="en-US" w:eastAsia="zh-CN" w:bidi="ar-SA"/>
        </w:rPr>
        <w:t>（二）组织保障</w:t>
      </w:r>
      <w:bookmarkEnd w:id="152"/>
      <w:bookmarkEnd w:id="153"/>
    </w:p>
    <w:p w14:paraId="27A7EAB5">
      <w:pPr>
        <w:pageBreakBefore w:val="0"/>
        <w:kinsoku/>
        <w:wordWrap/>
        <w:topLinePunct w:val="0"/>
        <w:bidi w:val="0"/>
        <w:spacing w:beforeAutospacing="0" w:afterAutospacing="0" w:line="560" w:lineRule="exact"/>
        <w:ind w:left="0" w:leftChars="0"/>
        <w:rPr>
          <w:rFonts w:hint="eastAsia" w:ascii="Times New Roman" w:hAnsi="Times New Roman" w:eastAsia="仿宋_GB2312" w:cs="Times New Roman"/>
          <w:b w:val="0"/>
          <w:bCs w:val="0"/>
          <w:color w:val="auto"/>
          <w:kern w:val="2"/>
          <w:sz w:val="32"/>
          <w:szCs w:val="32"/>
          <w:highlight w:val="none"/>
          <w:u w:val="none"/>
          <w:lang w:val="en-US" w:eastAsia="zh-CN" w:bidi="ar-SA"/>
        </w:rPr>
      </w:pPr>
      <w:r>
        <w:rPr>
          <w:rFonts w:hint="eastAsia" w:ascii="Times New Roman" w:hAnsi="Times New Roman" w:eastAsia="仿宋_GB2312" w:cs="Times New Roman"/>
          <w:b w:val="0"/>
          <w:bCs w:val="0"/>
          <w:color w:val="auto"/>
          <w:kern w:val="2"/>
          <w:sz w:val="32"/>
          <w:szCs w:val="32"/>
          <w:highlight w:val="none"/>
          <w:u w:val="none"/>
          <w:lang w:val="en-US" w:eastAsia="zh-CN" w:bidi="ar-SA"/>
        </w:rPr>
        <w:t>成立建筑垃圾污染环境防治工作专班，统筹推进和监督落实建筑垃圾治理工作。明确建筑垃圾污染环境防治和资源化利用规划目标，确立具体任务和组织安排。各乡</w:t>
      </w:r>
      <w:r>
        <w:rPr>
          <w:rFonts w:hint="eastAsia" w:eastAsia="仿宋_GB2312" w:cs="Times New Roman"/>
          <w:b w:val="0"/>
          <w:bCs w:val="0"/>
          <w:color w:val="auto"/>
          <w:kern w:val="2"/>
          <w:sz w:val="32"/>
          <w:szCs w:val="32"/>
          <w:highlight w:val="none"/>
          <w:u w:val="none"/>
          <w:lang w:val="en-US" w:eastAsia="zh-CN" w:bidi="ar-SA"/>
        </w:rPr>
        <w:t>（</w:t>
      </w:r>
      <w:r>
        <w:rPr>
          <w:rFonts w:hint="eastAsia" w:ascii="Times New Roman" w:hAnsi="Times New Roman" w:eastAsia="仿宋_GB2312" w:cs="Times New Roman"/>
          <w:b w:val="0"/>
          <w:bCs w:val="0"/>
          <w:color w:val="auto"/>
          <w:kern w:val="2"/>
          <w:sz w:val="32"/>
          <w:szCs w:val="32"/>
          <w:highlight w:val="none"/>
          <w:u w:val="none"/>
          <w:lang w:val="en-US" w:eastAsia="zh-CN" w:bidi="ar-SA"/>
        </w:rPr>
        <w:t>镇</w:t>
      </w:r>
      <w:r>
        <w:rPr>
          <w:rFonts w:hint="eastAsia" w:eastAsia="仿宋_GB2312" w:cs="Times New Roman"/>
          <w:b w:val="0"/>
          <w:bCs w:val="0"/>
          <w:color w:val="auto"/>
          <w:kern w:val="2"/>
          <w:sz w:val="32"/>
          <w:szCs w:val="32"/>
          <w:highlight w:val="none"/>
          <w:u w:val="none"/>
          <w:lang w:val="en-US" w:eastAsia="zh-CN" w:bidi="ar-SA"/>
        </w:rPr>
        <w:t>）</w:t>
      </w:r>
      <w:r>
        <w:rPr>
          <w:rFonts w:hint="eastAsia" w:ascii="Times New Roman" w:hAnsi="Times New Roman" w:eastAsia="仿宋_GB2312" w:cs="Times New Roman"/>
          <w:b w:val="0"/>
          <w:bCs w:val="0"/>
          <w:color w:val="auto"/>
          <w:kern w:val="2"/>
          <w:sz w:val="32"/>
          <w:szCs w:val="32"/>
          <w:highlight w:val="none"/>
          <w:u w:val="none"/>
          <w:lang w:val="en-US" w:eastAsia="zh-CN" w:bidi="ar-SA"/>
        </w:rPr>
        <w:t>认真落实属地责任，切实强化监管工作。各有关部门根据职责分工，强化责任担当，密切协作配合，形成上下联动、齐抓共管、合力推进的工作格局。</w:t>
      </w:r>
    </w:p>
    <w:p w14:paraId="49340AE6">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leftChars="0"/>
        <w:textAlignment w:val="auto"/>
        <w:outlineLvl w:val="1"/>
        <w:rPr>
          <w:rFonts w:hint="eastAsia" w:ascii="Times New Roman" w:hAnsi="Times New Roman" w:eastAsia="仿宋_GB2312" w:cs="Times New Roman"/>
          <w:b w:val="0"/>
          <w:bCs w:val="0"/>
          <w:color w:val="auto"/>
          <w:kern w:val="2"/>
          <w:sz w:val="32"/>
          <w:szCs w:val="32"/>
          <w:highlight w:val="none"/>
          <w:u w:val="none"/>
          <w:lang w:val="en-US" w:eastAsia="zh-CN" w:bidi="ar-SA"/>
        </w:rPr>
      </w:pPr>
      <w:bookmarkStart w:id="154" w:name="_Toc24686"/>
      <w:bookmarkStart w:id="155" w:name="_Toc10004"/>
      <w:r>
        <w:rPr>
          <w:rFonts w:hint="eastAsia" w:ascii="楷体_GB2312" w:hAnsi="楷体_GB2312" w:eastAsia="楷体_GB2312" w:cs="楷体_GB2312"/>
          <w:b w:val="0"/>
          <w:bCs w:val="0"/>
          <w:color w:val="auto"/>
          <w:kern w:val="2"/>
          <w:sz w:val="32"/>
          <w:szCs w:val="32"/>
          <w:highlight w:val="none"/>
          <w:u w:val="none"/>
          <w:lang w:val="en-US" w:eastAsia="zh-CN" w:bidi="ar-SA"/>
        </w:rPr>
        <w:t>（三）资金保障</w:t>
      </w:r>
      <w:bookmarkEnd w:id="154"/>
      <w:bookmarkEnd w:id="155"/>
    </w:p>
    <w:p w14:paraId="00AF93B1">
      <w:pPr>
        <w:pageBreakBefore w:val="0"/>
        <w:kinsoku/>
        <w:wordWrap/>
        <w:topLinePunct w:val="0"/>
        <w:bidi w:val="0"/>
        <w:spacing w:beforeAutospacing="0" w:afterAutospacing="0" w:line="560" w:lineRule="exact"/>
        <w:ind w:left="0" w:leftChars="0"/>
        <w:rPr>
          <w:rFonts w:hint="eastAsia" w:ascii="Times New Roman" w:hAnsi="Times New Roman" w:eastAsia="仿宋_GB2312" w:cs="Times New Roman"/>
          <w:b w:val="0"/>
          <w:bCs w:val="0"/>
          <w:color w:val="auto"/>
          <w:kern w:val="2"/>
          <w:sz w:val="32"/>
          <w:szCs w:val="32"/>
          <w:highlight w:val="none"/>
          <w:u w:val="none"/>
          <w:lang w:val="en-US" w:eastAsia="zh-CN" w:bidi="ar-SA"/>
        </w:rPr>
      </w:pPr>
      <w:r>
        <w:rPr>
          <w:rFonts w:hint="eastAsia" w:ascii="Times New Roman" w:hAnsi="Times New Roman" w:eastAsia="仿宋_GB2312" w:cs="Times New Roman"/>
          <w:b w:val="0"/>
          <w:bCs w:val="0"/>
          <w:color w:val="auto"/>
          <w:kern w:val="2"/>
          <w:sz w:val="32"/>
          <w:szCs w:val="32"/>
          <w:highlight w:val="none"/>
          <w:u w:val="none"/>
          <w:lang w:val="en-US" w:eastAsia="zh-CN" w:bidi="ar-SA"/>
        </w:rPr>
        <w:t>将本规划建设实施所需经费列入年度预算，包括建筑垃圾治理、设施配备、人员培训、宣传引导及奖励补助等，各级财政相应给予资金保障。建立建筑垃圾存量治理补贴机制；根据项目建设的紧迫性和必要性，经报县</w:t>
      </w:r>
      <w:r>
        <w:rPr>
          <w:rFonts w:hint="eastAsia" w:eastAsia="仿宋_GB2312" w:cs="Times New Roman"/>
          <w:b w:val="0"/>
          <w:bCs w:val="0"/>
          <w:color w:val="auto"/>
          <w:kern w:val="2"/>
          <w:sz w:val="32"/>
          <w:szCs w:val="32"/>
          <w:highlight w:val="none"/>
          <w:u w:val="none"/>
          <w:lang w:val="en-US" w:eastAsia="zh-CN" w:bidi="ar-SA"/>
        </w:rPr>
        <w:t>人民</w:t>
      </w:r>
      <w:r>
        <w:rPr>
          <w:rFonts w:hint="eastAsia" w:ascii="Times New Roman" w:hAnsi="Times New Roman" w:eastAsia="仿宋_GB2312" w:cs="Times New Roman"/>
          <w:b w:val="0"/>
          <w:bCs w:val="0"/>
          <w:color w:val="auto"/>
          <w:kern w:val="2"/>
          <w:sz w:val="32"/>
          <w:szCs w:val="32"/>
          <w:highlight w:val="none"/>
          <w:u w:val="none"/>
          <w:lang w:val="en-US" w:eastAsia="zh-CN" w:bidi="ar-SA"/>
        </w:rPr>
        <w:t>政府批复后，按程序列入年度预算申报，</w:t>
      </w:r>
      <w:r>
        <w:rPr>
          <w:rFonts w:hint="eastAsia" w:eastAsia="仿宋_GB2312" w:cs="Times New Roman"/>
          <w:b w:val="0"/>
          <w:bCs w:val="0"/>
          <w:color w:val="auto"/>
          <w:kern w:val="2"/>
          <w:sz w:val="32"/>
          <w:szCs w:val="32"/>
          <w:highlight w:val="none"/>
          <w:u w:val="none"/>
          <w:lang w:val="en-US" w:eastAsia="zh-CN" w:bidi="ar-SA"/>
        </w:rPr>
        <w:t>县</w:t>
      </w:r>
      <w:r>
        <w:rPr>
          <w:rFonts w:hint="eastAsia" w:ascii="Times New Roman" w:hAnsi="Times New Roman" w:eastAsia="仿宋_GB2312" w:cs="Times New Roman"/>
          <w:b w:val="0"/>
          <w:bCs w:val="0"/>
          <w:color w:val="auto"/>
          <w:kern w:val="2"/>
          <w:sz w:val="32"/>
          <w:szCs w:val="32"/>
          <w:highlight w:val="none"/>
          <w:u w:val="none"/>
          <w:lang w:val="en-US" w:eastAsia="zh-CN" w:bidi="ar-SA"/>
        </w:rPr>
        <w:t>财政将结合财力情况统筹保障项目资金；项目业主单位积极争取上级补助资金推进项目建设；引入社会资本参与建筑垃圾产业，深化政府与社会资本的合作；扶持一批绿色循环建筑垃圾企业建设；相关部门科学制定建筑垃圾处置过程中的相关价格，充分发挥市场的调节作用。</w:t>
      </w:r>
    </w:p>
    <w:p w14:paraId="0491F052">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leftChars="0"/>
        <w:textAlignment w:val="auto"/>
        <w:outlineLvl w:val="1"/>
        <w:rPr>
          <w:rFonts w:hint="eastAsia" w:ascii="楷体_GB2312" w:hAnsi="楷体_GB2312" w:eastAsia="楷体_GB2312" w:cs="楷体_GB2312"/>
          <w:b w:val="0"/>
          <w:bCs w:val="0"/>
          <w:color w:val="auto"/>
          <w:kern w:val="2"/>
          <w:sz w:val="32"/>
          <w:szCs w:val="32"/>
          <w:highlight w:val="none"/>
          <w:u w:val="none"/>
          <w:lang w:val="en-US" w:eastAsia="zh-CN" w:bidi="ar-SA"/>
        </w:rPr>
      </w:pPr>
      <w:bookmarkStart w:id="156" w:name="_Toc15303"/>
      <w:bookmarkStart w:id="157" w:name="_Toc30135"/>
      <w:r>
        <w:rPr>
          <w:rFonts w:hint="eastAsia" w:ascii="楷体_GB2312" w:hAnsi="楷体_GB2312" w:eastAsia="楷体_GB2312" w:cs="楷体_GB2312"/>
          <w:b w:val="0"/>
          <w:bCs w:val="0"/>
          <w:color w:val="auto"/>
          <w:kern w:val="2"/>
          <w:sz w:val="32"/>
          <w:szCs w:val="32"/>
          <w:highlight w:val="none"/>
          <w:u w:val="none"/>
          <w:lang w:val="en-US" w:eastAsia="zh-CN" w:bidi="ar-SA"/>
        </w:rPr>
        <w:t>（四）土地</w:t>
      </w:r>
      <w:bookmarkStart w:id="166" w:name="_GoBack"/>
      <w:bookmarkEnd w:id="166"/>
      <w:r>
        <w:rPr>
          <w:rFonts w:hint="eastAsia" w:ascii="楷体_GB2312" w:hAnsi="楷体_GB2312" w:eastAsia="楷体_GB2312" w:cs="楷体_GB2312"/>
          <w:b w:val="0"/>
          <w:bCs w:val="0"/>
          <w:color w:val="auto"/>
          <w:kern w:val="2"/>
          <w:sz w:val="32"/>
          <w:szCs w:val="32"/>
          <w:highlight w:val="none"/>
          <w:u w:val="none"/>
          <w:lang w:val="en-US" w:eastAsia="zh-CN" w:bidi="ar-SA"/>
        </w:rPr>
        <w:t>保障</w:t>
      </w:r>
      <w:bookmarkEnd w:id="156"/>
      <w:bookmarkEnd w:id="157"/>
    </w:p>
    <w:p w14:paraId="5613272A">
      <w:pPr>
        <w:pageBreakBefore w:val="0"/>
        <w:kinsoku/>
        <w:wordWrap/>
        <w:topLinePunct w:val="0"/>
        <w:bidi w:val="0"/>
        <w:spacing w:beforeAutospacing="0" w:afterAutospacing="0" w:line="560" w:lineRule="exact"/>
        <w:ind w:left="0" w:leftChars="0"/>
        <w:rPr>
          <w:rFonts w:hint="eastAsia" w:ascii="Times New Roman" w:hAnsi="Times New Roman" w:eastAsia="仿宋_GB2312" w:cs="Times New Roman"/>
          <w:b w:val="0"/>
          <w:bCs w:val="0"/>
          <w:color w:val="auto"/>
          <w:kern w:val="2"/>
          <w:sz w:val="32"/>
          <w:szCs w:val="32"/>
          <w:highlight w:val="none"/>
          <w:u w:val="none"/>
          <w:lang w:val="en-US" w:eastAsia="zh-CN" w:bidi="ar-SA"/>
        </w:rPr>
      </w:pPr>
      <w:r>
        <w:rPr>
          <w:rFonts w:hint="eastAsia" w:ascii="Times New Roman" w:hAnsi="Times New Roman" w:eastAsia="仿宋_GB2312" w:cs="Times New Roman"/>
          <w:b w:val="0"/>
          <w:bCs w:val="0"/>
          <w:color w:val="auto"/>
          <w:kern w:val="2"/>
          <w:sz w:val="32"/>
          <w:szCs w:val="32"/>
          <w:highlight w:val="none"/>
          <w:u w:val="none"/>
          <w:lang w:val="en-US" w:eastAsia="zh-CN" w:bidi="ar-SA"/>
        </w:rPr>
        <w:t>在国土空间规划中应落实建筑垃圾处理设施的布局、选址和用地规模需求，确保在土地出让和审批中遵循相应的配置标准。对于适宜灵活用地的设施，应积极探索租赁、先租后让、租让结合、弹性年期出让等用地保障方式。依据生态环境等相关部门的意见，科学规划或改造提升处理设施。大中型处理设施的建设单位须在设施建设前向</w:t>
      </w:r>
      <w:r>
        <w:rPr>
          <w:rFonts w:hint="eastAsia" w:eastAsia="仿宋_GB2312" w:cs="Times New Roman"/>
          <w:b w:val="0"/>
          <w:bCs w:val="0"/>
          <w:color w:val="auto"/>
          <w:kern w:val="2"/>
          <w:sz w:val="32"/>
          <w:szCs w:val="32"/>
          <w:highlight w:val="none"/>
          <w:u w:val="none"/>
          <w:lang w:val="en-US" w:eastAsia="zh-CN" w:bidi="ar-SA"/>
        </w:rPr>
        <w:t>县</w:t>
      </w:r>
      <w:r>
        <w:rPr>
          <w:rFonts w:hint="eastAsia" w:ascii="Times New Roman" w:hAnsi="Times New Roman" w:eastAsia="仿宋_GB2312" w:cs="Times New Roman"/>
          <w:b w:val="0"/>
          <w:bCs w:val="0"/>
          <w:color w:val="auto"/>
          <w:kern w:val="2"/>
          <w:sz w:val="32"/>
          <w:szCs w:val="32"/>
          <w:highlight w:val="none"/>
          <w:u w:val="none"/>
          <w:lang w:val="en-US" w:eastAsia="zh-CN" w:bidi="ar-SA"/>
        </w:rPr>
        <w:t>自然资源</w:t>
      </w:r>
      <w:r>
        <w:rPr>
          <w:rFonts w:hint="eastAsia" w:eastAsia="仿宋_GB2312" w:cs="Times New Roman"/>
          <w:b w:val="0"/>
          <w:bCs w:val="0"/>
          <w:color w:val="auto"/>
          <w:kern w:val="2"/>
          <w:sz w:val="32"/>
          <w:szCs w:val="32"/>
          <w:highlight w:val="none"/>
          <w:u w:val="none"/>
          <w:lang w:val="en-US" w:eastAsia="zh-CN" w:bidi="ar-SA"/>
        </w:rPr>
        <w:t>和规划局</w:t>
      </w:r>
      <w:r>
        <w:rPr>
          <w:rFonts w:hint="eastAsia" w:ascii="Times New Roman" w:hAnsi="Times New Roman" w:eastAsia="仿宋_GB2312" w:cs="Times New Roman"/>
          <w:b w:val="0"/>
          <w:bCs w:val="0"/>
          <w:color w:val="auto"/>
          <w:kern w:val="2"/>
          <w:sz w:val="32"/>
          <w:szCs w:val="32"/>
          <w:highlight w:val="none"/>
          <w:u w:val="none"/>
          <w:lang w:val="en-US" w:eastAsia="zh-CN" w:bidi="ar-SA"/>
        </w:rPr>
        <w:t>、</w:t>
      </w:r>
      <w:r>
        <w:rPr>
          <w:rFonts w:hint="eastAsia" w:eastAsia="仿宋_GB2312" w:cs="Times New Roman"/>
          <w:b w:val="0"/>
          <w:bCs w:val="0"/>
          <w:color w:val="auto"/>
          <w:kern w:val="2"/>
          <w:sz w:val="32"/>
          <w:szCs w:val="32"/>
          <w:highlight w:val="none"/>
          <w:u w:val="none"/>
          <w:lang w:val="en-US" w:eastAsia="zh-CN" w:bidi="ar-SA"/>
        </w:rPr>
        <w:t>融安</w:t>
      </w:r>
      <w:r>
        <w:rPr>
          <w:rFonts w:hint="eastAsia" w:ascii="Times New Roman" w:hAnsi="Times New Roman" w:eastAsia="仿宋_GB2312" w:cs="Times New Roman"/>
          <w:b w:val="0"/>
          <w:bCs w:val="0"/>
          <w:color w:val="auto"/>
          <w:kern w:val="2"/>
          <w:sz w:val="32"/>
          <w:szCs w:val="32"/>
          <w:highlight w:val="none"/>
          <w:u w:val="none"/>
          <w:lang w:val="en-US" w:eastAsia="zh-CN" w:bidi="ar-SA"/>
        </w:rPr>
        <w:t>生态环境</w:t>
      </w:r>
      <w:r>
        <w:rPr>
          <w:rFonts w:hint="eastAsia" w:eastAsia="仿宋_GB2312" w:cs="Times New Roman"/>
          <w:b w:val="0"/>
          <w:bCs w:val="0"/>
          <w:color w:val="auto"/>
          <w:kern w:val="2"/>
          <w:sz w:val="32"/>
          <w:szCs w:val="32"/>
          <w:highlight w:val="none"/>
          <w:u w:val="none"/>
          <w:lang w:val="en-US" w:eastAsia="zh-CN" w:bidi="ar-SA"/>
        </w:rPr>
        <w:t>局</w:t>
      </w:r>
      <w:r>
        <w:rPr>
          <w:rFonts w:hint="eastAsia" w:ascii="Times New Roman" w:hAnsi="Times New Roman" w:eastAsia="仿宋_GB2312" w:cs="Times New Roman"/>
          <w:b w:val="0"/>
          <w:bCs w:val="0"/>
          <w:color w:val="auto"/>
          <w:kern w:val="2"/>
          <w:sz w:val="32"/>
          <w:szCs w:val="32"/>
          <w:highlight w:val="none"/>
          <w:u w:val="none"/>
          <w:lang w:val="en-US" w:eastAsia="zh-CN" w:bidi="ar-SA"/>
        </w:rPr>
        <w:t>等部门申请并获得必要审批。</w:t>
      </w:r>
    </w:p>
    <w:p w14:paraId="3CB3326A">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leftChars="0"/>
        <w:textAlignment w:val="auto"/>
        <w:outlineLvl w:val="1"/>
        <w:rPr>
          <w:rFonts w:hint="eastAsia" w:ascii="楷体_GB2312" w:hAnsi="楷体_GB2312" w:eastAsia="楷体_GB2312" w:cs="楷体_GB2312"/>
          <w:b w:val="0"/>
          <w:bCs w:val="0"/>
          <w:color w:val="auto"/>
          <w:kern w:val="2"/>
          <w:sz w:val="32"/>
          <w:szCs w:val="32"/>
          <w:highlight w:val="none"/>
          <w:u w:val="none"/>
          <w:lang w:val="en-US" w:eastAsia="zh-CN" w:bidi="ar-SA"/>
        </w:rPr>
      </w:pPr>
      <w:bookmarkStart w:id="158" w:name="_Toc27930"/>
      <w:bookmarkStart w:id="159" w:name="_Toc28984"/>
      <w:r>
        <w:rPr>
          <w:rFonts w:hint="eastAsia" w:ascii="楷体_GB2312" w:hAnsi="楷体_GB2312" w:eastAsia="楷体_GB2312" w:cs="楷体_GB2312"/>
          <w:b w:val="0"/>
          <w:bCs w:val="0"/>
          <w:color w:val="auto"/>
          <w:kern w:val="2"/>
          <w:sz w:val="32"/>
          <w:szCs w:val="32"/>
          <w:highlight w:val="none"/>
          <w:u w:val="none"/>
          <w:lang w:val="en-US" w:eastAsia="zh-CN" w:bidi="ar-SA"/>
        </w:rPr>
        <w:t>（五）技术保障</w:t>
      </w:r>
      <w:bookmarkEnd w:id="158"/>
      <w:bookmarkEnd w:id="159"/>
    </w:p>
    <w:p w14:paraId="1BB1C29C">
      <w:pPr>
        <w:pageBreakBefore w:val="0"/>
        <w:kinsoku/>
        <w:wordWrap/>
        <w:topLinePunct w:val="0"/>
        <w:bidi w:val="0"/>
        <w:spacing w:beforeAutospacing="0" w:afterAutospacing="0" w:line="560" w:lineRule="exact"/>
        <w:ind w:left="0" w:leftChars="0"/>
        <w:rPr>
          <w:rFonts w:hint="eastAsia" w:ascii="Times New Roman" w:hAnsi="Times New Roman" w:eastAsia="仿宋_GB2312" w:cs="Times New Roman"/>
          <w:b w:val="0"/>
          <w:bCs w:val="0"/>
          <w:color w:val="auto"/>
          <w:kern w:val="2"/>
          <w:sz w:val="32"/>
          <w:szCs w:val="32"/>
          <w:highlight w:val="none"/>
          <w:u w:val="none"/>
          <w:lang w:val="en-US" w:eastAsia="zh-CN" w:bidi="ar-SA"/>
        </w:rPr>
      </w:pPr>
      <w:bookmarkStart w:id="160" w:name="_Hlk159420000"/>
      <w:r>
        <w:rPr>
          <w:rFonts w:hint="eastAsia" w:ascii="Times New Roman" w:hAnsi="Times New Roman" w:eastAsia="仿宋_GB2312" w:cs="Times New Roman"/>
          <w:b w:val="0"/>
          <w:bCs w:val="0"/>
          <w:color w:val="auto"/>
          <w:kern w:val="2"/>
          <w:sz w:val="32"/>
          <w:szCs w:val="32"/>
          <w:highlight w:val="none"/>
          <w:u w:val="none"/>
          <w:lang w:val="en-US" w:eastAsia="zh-CN" w:bidi="ar-SA"/>
        </w:rPr>
        <w:t>落实建筑垃圾治理相关数据实时上报联动机制，完善建筑垃圾处理处置全过程信息化管理体系。建立数据汇集、分析和共享机制，加强建筑垃圾数字治理数据信息实时采集，通过整合各类信息，为决策提供科学依据和数据支撑。探索</w:t>
      </w:r>
      <w:r>
        <w:rPr>
          <w:rFonts w:hint="eastAsia" w:ascii="仿宋_GB2312" w:hAnsi="仿宋_GB2312" w:eastAsia="仿宋_GB2312" w:cs="仿宋_GB2312"/>
          <w:b w:val="0"/>
          <w:bCs w:val="0"/>
          <w:color w:val="auto"/>
          <w:kern w:val="2"/>
          <w:sz w:val="32"/>
          <w:szCs w:val="32"/>
          <w:highlight w:val="none"/>
          <w:u w:val="none"/>
          <w:lang w:val="en-US" w:eastAsia="zh-CN" w:bidi="ar-SA"/>
        </w:rPr>
        <w:t>“</w:t>
      </w:r>
      <w:r>
        <w:rPr>
          <w:rFonts w:hint="eastAsia" w:ascii="Times New Roman" w:hAnsi="Times New Roman" w:eastAsia="仿宋_GB2312" w:cs="Times New Roman"/>
          <w:b w:val="0"/>
          <w:bCs w:val="0"/>
          <w:color w:val="auto"/>
          <w:kern w:val="2"/>
          <w:sz w:val="32"/>
          <w:szCs w:val="32"/>
          <w:highlight w:val="none"/>
          <w:u w:val="none"/>
          <w:lang w:val="en-US" w:eastAsia="zh-CN" w:bidi="ar-SA"/>
        </w:rPr>
        <w:t>天空地一体化</w:t>
      </w:r>
      <w:r>
        <w:rPr>
          <w:rFonts w:hint="eastAsia" w:ascii="仿宋_GB2312" w:hAnsi="仿宋_GB2312" w:eastAsia="仿宋_GB2312" w:cs="仿宋_GB2312"/>
          <w:b w:val="0"/>
          <w:bCs w:val="0"/>
          <w:color w:val="auto"/>
          <w:kern w:val="2"/>
          <w:sz w:val="32"/>
          <w:szCs w:val="32"/>
          <w:highlight w:val="none"/>
          <w:u w:val="none"/>
          <w:lang w:val="en-US" w:eastAsia="zh-CN" w:bidi="ar-SA"/>
        </w:rPr>
        <w:t>”</w:t>
      </w:r>
      <w:r>
        <w:rPr>
          <w:rFonts w:hint="eastAsia" w:ascii="Times New Roman" w:hAnsi="Times New Roman" w:eastAsia="仿宋_GB2312" w:cs="Times New Roman"/>
          <w:b w:val="0"/>
          <w:bCs w:val="0"/>
          <w:color w:val="auto"/>
          <w:kern w:val="2"/>
          <w:sz w:val="32"/>
          <w:szCs w:val="32"/>
          <w:highlight w:val="none"/>
          <w:u w:val="none"/>
          <w:lang w:val="en-US" w:eastAsia="zh-CN" w:bidi="ar-SA"/>
        </w:rPr>
        <w:t>监控技术应用，借助先进技术手段，构建完善建筑垃圾从源头到末端处置全过程数字化闭环监管。</w:t>
      </w:r>
    </w:p>
    <w:p w14:paraId="008F7696">
      <w:pPr>
        <w:pageBreakBefore w:val="0"/>
        <w:kinsoku/>
        <w:wordWrap/>
        <w:topLinePunct w:val="0"/>
        <w:bidi w:val="0"/>
        <w:spacing w:beforeAutospacing="0" w:afterAutospacing="0" w:line="560" w:lineRule="exact"/>
        <w:ind w:left="0" w:leftChars="0"/>
        <w:rPr>
          <w:rFonts w:hint="eastAsia" w:ascii="黑体" w:hAnsi="黑体" w:eastAsia="黑体" w:cs="黑体"/>
          <w:b w:val="0"/>
          <w:bCs w:val="0"/>
          <w:color w:val="auto"/>
          <w:kern w:val="2"/>
          <w:sz w:val="32"/>
          <w:szCs w:val="32"/>
          <w:highlight w:val="none"/>
          <w:u w:val="none"/>
          <w:lang w:val="en-US" w:eastAsia="zh-CN" w:bidi="ar-SA"/>
        </w:rPr>
      </w:pPr>
      <w:bookmarkStart w:id="161" w:name="_Toc8685"/>
    </w:p>
    <w:p w14:paraId="607BF3A3">
      <w:pPr>
        <w:pageBreakBefore w:val="0"/>
        <w:kinsoku/>
        <w:wordWrap/>
        <w:topLinePunct w:val="0"/>
        <w:bidi w:val="0"/>
        <w:spacing w:beforeAutospacing="0" w:afterAutospacing="0" w:line="560" w:lineRule="exact"/>
        <w:ind w:left="0" w:leftChars="0"/>
        <w:rPr>
          <w:rFonts w:hint="eastAsia" w:ascii="黑体" w:hAnsi="黑体" w:eastAsia="黑体" w:cs="黑体"/>
          <w:b w:val="0"/>
          <w:bCs w:val="0"/>
          <w:color w:val="auto"/>
          <w:kern w:val="2"/>
          <w:sz w:val="32"/>
          <w:szCs w:val="32"/>
          <w:highlight w:val="none"/>
          <w:u w:val="none"/>
          <w:lang w:val="en-US" w:eastAsia="zh-CN" w:bidi="ar-SA"/>
        </w:rPr>
      </w:pPr>
    </w:p>
    <w:bookmarkEnd w:id="161"/>
    <w:p w14:paraId="3EE15536">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left="0" w:leftChars="0" w:firstLine="0" w:firstLineChars="0"/>
        <w:jc w:val="both"/>
        <w:textAlignment w:val="auto"/>
        <w:rPr>
          <w:rFonts w:hint="eastAsia" w:ascii="Times New Roman" w:hAnsi="Times New Roman" w:eastAsia="仿宋_GB2312" w:cs="Times New Roman"/>
          <w:b w:val="0"/>
          <w:bCs w:val="0"/>
          <w:color w:val="auto"/>
          <w:kern w:val="2"/>
          <w:sz w:val="32"/>
          <w:szCs w:val="32"/>
          <w:highlight w:val="none"/>
          <w:u w:val="none"/>
          <w:lang w:val="en-US" w:eastAsia="zh-CN" w:bidi="ar-SA"/>
        </w:rPr>
      </w:pPr>
    </w:p>
    <w:p w14:paraId="47E4330C">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left="0" w:leftChars="0" w:firstLine="640" w:firstLineChars="200"/>
        <w:jc w:val="both"/>
        <w:textAlignment w:val="auto"/>
        <w:outlineLvl w:val="0"/>
        <w:rPr>
          <w:rFonts w:hint="default" w:ascii="Times New Roman" w:hAnsi="Times New Roman" w:eastAsia="仿宋_GB2312" w:cs="Times New Roman"/>
          <w:b w:val="0"/>
          <w:bCs w:val="0"/>
          <w:color w:val="auto"/>
          <w:kern w:val="2"/>
          <w:sz w:val="32"/>
          <w:szCs w:val="32"/>
          <w:highlight w:val="none"/>
          <w:u w:val="none"/>
          <w:lang w:val="en-US" w:eastAsia="zh-CN" w:bidi="ar-SA"/>
        </w:rPr>
      </w:pPr>
      <w:bookmarkStart w:id="162" w:name="_Toc5815"/>
      <w:r>
        <w:rPr>
          <w:rFonts w:hint="eastAsia" w:ascii="黑体" w:hAnsi="黑体" w:eastAsia="黑体" w:cs="黑体"/>
          <w:b w:val="0"/>
          <w:bCs w:val="0"/>
          <w:color w:val="auto"/>
          <w:kern w:val="2"/>
          <w:sz w:val="32"/>
          <w:szCs w:val="32"/>
          <w:highlight w:val="none"/>
          <w:u w:val="none"/>
          <w:lang w:val="en-US" w:eastAsia="zh-CN" w:bidi="ar-SA"/>
        </w:rPr>
        <w:t>附表</w:t>
      </w:r>
      <w:bookmarkEnd w:id="162"/>
    </w:p>
    <w:p w14:paraId="57A10D96">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left="0" w:leftChars="0" w:firstLine="0" w:firstLineChars="0"/>
        <w:jc w:val="center"/>
        <w:textAlignment w:val="auto"/>
        <w:rPr>
          <w:rFonts w:hint="eastAsia" w:ascii="Times New Roman" w:hAnsi="Times New Roman" w:eastAsia="仿宋_GB2312" w:cs="Times New Roman"/>
          <w:b w:val="0"/>
          <w:bCs w:val="0"/>
          <w:color w:val="auto"/>
          <w:kern w:val="2"/>
          <w:sz w:val="32"/>
          <w:szCs w:val="32"/>
          <w:highlight w:val="none"/>
          <w:u w:val="none"/>
          <w:lang w:val="en-US" w:eastAsia="zh-CN" w:bidi="ar-SA"/>
        </w:rPr>
      </w:pPr>
      <w:r>
        <w:rPr>
          <w:rFonts w:hint="eastAsia" w:ascii="Times New Roman" w:hAnsi="Times New Roman" w:eastAsia="仿宋_GB2312" w:cs="Times New Roman"/>
          <w:b w:val="0"/>
          <w:bCs w:val="0"/>
          <w:color w:val="auto"/>
          <w:kern w:val="2"/>
          <w:sz w:val="32"/>
          <w:szCs w:val="32"/>
          <w:highlight w:val="none"/>
          <w:u w:val="none"/>
          <w:lang w:val="en-US" w:eastAsia="zh-CN" w:bidi="ar-SA"/>
        </w:rPr>
        <w:t>表：规划近期（</w:t>
      </w:r>
      <w:r>
        <w:rPr>
          <w:rFonts w:hint="default" w:ascii="Times New Roman" w:hAnsi="Times New Roman" w:eastAsia="仿宋_GB2312" w:cs="Times New Roman"/>
          <w:b w:val="0"/>
          <w:bCs w:val="0"/>
          <w:color w:val="auto"/>
          <w:kern w:val="2"/>
          <w:sz w:val="32"/>
          <w:szCs w:val="32"/>
          <w:highlight w:val="none"/>
          <w:u w:val="none"/>
          <w:lang w:val="en-US" w:eastAsia="zh-CN" w:bidi="ar-SA"/>
        </w:rPr>
        <w:t>2024</w:t>
      </w:r>
      <w:r>
        <w:rPr>
          <w:rFonts w:hint="eastAsia" w:eastAsia="仿宋_GB2312" w:cs="Times New Roman"/>
          <w:b w:val="0"/>
          <w:bCs w:val="0"/>
          <w:color w:val="auto"/>
          <w:kern w:val="2"/>
          <w:sz w:val="32"/>
          <w:szCs w:val="32"/>
          <w:highlight w:val="none"/>
          <w:u w:val="none"/>
          <w:lang w:val="en-US" w:eastAsia="zh-CN" w:bidi="ar-SA"/>
        </w:rPr>
        <w:t>—</w:t>
      </w:r>
      <w:r>
        <w:rPr>
          <w:rFonts w:hint="default" w:ascii="Times New Roman" w:hAnsi="Times New Roman" w:eastAsia="仿宋_GB2312" w:cs="Times New Roman"/>
          <w:b w:val="0"/>
          <w:bCs w:val="0"/>
          <w:color w:val="auto"/>
          <w:kern w:val="2"/>
          <w:sz w:val="32"/>
          <w:szCs w:val="32"/>
          <w:highlight w:val="none"/>
          <w:u w:val="none"/>
          <w:lang w:val="en-US" w:eastAsia="zh-CN" w:bidi="ar-SA"/>
        </w:rPr>
        <w:t>2030</w:t>
      </w:r>
      <w:r>
        <w:rPr>
          <w:rFonts w:hint="eastAsia" w:ascii="Times New Roman" w:hAnsi="Times New Roman" w:eastAsia="仿宋_GB2312" w:cs="Times New Roman"/>
          <w:b w:val="0"/>
          <w:bCs w:val="0"/>
          <w:color w:val="auto"/>
          <w:kern w:val="2"/>
          <w:sz w:val="32"/>
          <w:szCs w:val="32"/>
          <w:highlight w:val="none"/>
          <w:u w:val="none"/>
          <w:lang w:val="en-US" w:eastAsia="zh-CN" w:bidi="ar-SA"/>
        </w:rPr>
        <w:t>年）建筑垃圾</w:t>
      </w:r>
    </w:p>
    <w:p w14:paraId="5F779E98">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left="0" w:leftChars="0" w:firstLine="0" w:firstLineChars="0"/>
        <w:jc w:val="center"/>
        <w:textAlignment w:val="auto"/>
        <w:rPr>
          <w:rFonts w:hint="eastAsia" w:ascii="Times New Roman" w:hAnsi="Times New Roman" w:eastAsia="仿宋_GB2312" w:cs="Times New Roman"/>
          <w:b w:val="0"/>
          <w:bCs w:val="0"/>
          <w:color w:val="auto"/>
          <w:kern w:val="2"/>
          <w:sz w:val="32"/>
          <w:szCs w:val="32"/>
          <w:highlight w:val="none"/>
          <w:u w:val="none"/>
          <w:lang w:val="en-US" w:eastAsia="zh-CN" w:bidi="ar-SA"/>
        </w:rPr>
      </w:pPr>
      <w:r>
        <w:rPr>
          <w:rFonts w:hint="eastAsia" w:ascii="Times New Roman" w:hAnsi="Times New Roman" w:eastAsia="仿宋_GB2312" w:cs="Times New Roman"/>
          <w:b w:val="0"/>
          <w:bCs w:val="0"/>
          <w:color w:val="auto"/>
          <w:kern w:val="2"/>
          <w:sz w:val="32"/>
          <w:szCs w:val="32"/>
          <w:highlight w:val="none"/>
          <w:u w:val="none"/>
          <w:lang w:val="en-US" w:eastAsia="zh-CN" w:bidi="ar-SA"/>
        </w:rPr>
        <w:t>产生量与处理量预测表</w:t>
      </w:r>
    </w:p>
    <w:tbl>
      <w:tblPr>
        <w:tblStyle w:val="16"/>
        <w:tblW w:w="786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0" w:type="dxa"/>
          <w:bottom w:w="0" w:type="dxa"/>
          <w:right w:w="0" w:type="dxa"/>
        </w:tblCellMar>
      </w:tblPr>
      <w:tblGrid>
        <w:gridCol w:w="2071"/>
        <w:gridCol w:w="1125"/>
        <w:gridCol w:w="1470"/>
        <w:gridCol w:w="1875"/>
        <w:gridCol w:w="1320"/>
      </w:tblGrid>
      <w:tr w14:paraId="2F6053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95" w:hRule="atLeast"/>
          <w:tblHeader/>
          <w:jc w:val="center"/>
        </w:trPr>
        <w:tc>
          <w:tcPr>
            <w:tcW w:w="2071" w:type="dxa"/>
            <w:shd w:val="clear" w:color="auto" w:fill="auto"/>
            <w:tcMar>
              <w:top w:w="15" w:type="dxa"/>
              <w:left w:w="15" w:type="dxa"/>
              <w:right w:w="15" w:type="dxa"/>
            </w:tcMar>
            <w:vAlign w:val="center"/>
          </w:tcPr>
          <w:p w14:paraId="1EE2D71A">
            <w:pPr>
              <w:keepNext w:val="0"/>
              <w:keepLines w:val="0"/>
              <w:pageBreakBefore w:val="0"/>
              <w:widowControl w:val="0"/>
              <w:kinsoku/>
              <w:wordWrap/>
              <w:overflowPunct/>
              <w:topLinePunct w:val="0"/>
              <w:autoSpaceDE/>
              <w:autoSpaceDN/>
              <w:bidi w:val="0"/>
              <w:adjustRightInd/>
              <w:snapToGrid/>
              <w:spacing w:beforeAutospacing="0" w:afterAutospacing="0" w:line="320" w:lineRule="exact"/>
              <w:ind w:left="0" w:leftChars="0" w:firstLine="0" w:firstLineChars="0"/>
              <w:jc w:val="center"/>
              <w:textAlignment w:val="auto"/>
              <w:rPr>
                <w:rFonts w:hint="eastAsia" w:ascii="黑体" w:hAnsi="黑体" w:eastAsia="黑体" w:cs="黑体"/>
                <w:sz w:val="24"/>
                <w:szCs w:val="24"/>
                <w:highlight w:val="none"/>
                <w:vertAlign w:val="baseline"/>
                <w:lang w:val="en-US" w:eastAsia="zh-CN"/>
              </w:rPr>
            </w:pPr>
            <w:r>
              <w:rPr>
                <w:rFonts w:hint="eastAsia" w:ascii="黑体" w:hAnsi="黑体" w:eastAsia="黑体" w:cs="黑体"/>
                <w:sz w:val="24"/>
                <w:szCs w:val="24"/>
                <w:highlight w:val="none"/>
                <w:vertAlign w:val="baseline"/>
                <w:lang w:val="en-US" w:eastAsia="zh-CN"/>
              </w:rPr>
              <w:t>建筑垃圾类别</w:t>
            </w:r>
          </w:p>
        </w:tc>
        <w:tc>
          <w:tcPr>
            <w:tcW w:w="1125" w:type="dxa"/>
            <w:shd w:val="clear" w:color="auto" w:fill="auto"/>
            <w:tcMar>
              <w:top w:w="15" w:type="dxa"/>
              <w:left w:w="15" w:type="dxa"/>
              <w:right w:w="15" w:type="dxa"/>
            </w:tcMar>
            <w:vAlign w:val="center"/>
          </w:tcPr>
          <w:p w14:paraId="02916C2A">
            <w:pPr>
              <w:keepNext w:val="0"/>
              <w:keepLines w:val="0"/>
              <w:pageBreakBefore w:val="0"/>
              <w:widowControl w:val="0"/>
              <w:kinsoku/>
              <w:wordWrap/>
              <w:overflowPunct/>
              <w:topLinePunct w:val="0"/>
              <w:autoSpaceDE/>
              <w:autoSpaceDN/>
              <w:bidi w:val="0"/>
              <w:adjustRightInd/>
              <w:snapToGrid/>
              <w:spacing w:beforeAutospacing="0" w:afterAutospacing="0" w:line="320" w:lineRule="exact"/>
              <w:ind w:left="0" w:leftChars="0" w:firstLine="0" w:firstLineChars="0"/>
              <w:jc w:val="center"/>
              <w:textAlignment w:val="auto"/>
              <w:rPr>
                <w:rFonts w:hint="eastAsia" w:ascii="黑体" w:hAnsi="黑体" w:eastAsia="黑体" w:cs="黑体"/>
                <w:sz w:val="24"/>
                <w:szCs w:val="24"/>
                <w:highlight w:val="none"/>
                <w:vertAlign w:val="baseline"/>
                <w:lang w:val="en-US" w:eastAsia="zh-CN"/>
              </w:rPr>
            </w:pPr>
            <w:r>
              <w:rPr>
                <w:rFonts w:hint="eastAsia" w:ascii="黑体" w:hAnsi="黑体" w:eastAsia="黑体" w:cs="黑体"/>
                <w:sz w:val="24"/>
                <w:szCs w:val="24"/>
                <w:highlight w:val="none"/>
                <w:vertAlign w:val="baseline"/>
                <w:lang w:val="en-US" w:eastAsia="zh-CN"/>
              </w:rPr>
              <w:t>产生量</w:t>
            </w:r>
          </w:p>
          <w:p w14:paraId="7FE4DA1A">
            <w:pPr>
              <w:keepNext w:val="0"/>
              <w:keepLines w:val="0"/>
              <w:pageBreakBefore w:val="0"/>
              <w:widowControl w:val="0"/>
              <w:kinsoku/>
              <w:wordWrap/>
              <w:overflowPunct/>
              <w:topLinePunct w:val="0"/>
              <w:autoSpaceDE/>
              <w:autoSpaceDN/>
              <w:bidi w:val="0"/>
              <w:adjustRightInd/>
              <w:snapToGrid/>
              <w:spacing w:beforeAutospacing="0" w:afterAutospacing="0" w:line="320" w:lineRule="exact"/>
              <w:ind w:left="0" w:leftChars="0" w:firstLine="0" w:firstLineChars="0"/>
              <w:jc w:val="center"/>
              <w:textAlignment w:val="auto"/>
              <w:rPr>
                <w:rFonts w:hint="eastAsia" w:ascii="黑体" w:hAnsi="黑体" w:eastAsia="黑体" w:cs="黑体"/>
                <w:sz w:val="24"/>
                <w:szCs w:val="24"/>
                <w:highlight w:val="none"/>
                <w:vertAlign w:val="baseline"/>
                <w:lang w:val="en-US" w:eastAsia="zh-CN"/>
              </w:rPr>
            </w:pPr>
            <w:r>
              <w:rPr>
                <w:rFonts w:hint="eastAsia" w:ascii="黑体" w:hAnsi="黑体" w:eastAsia="黑体" w:cs="黑体"/>
                <w:sz w:val="24"/>
                <w:szCs w:val="24"/>
                <w:highlight w:val="none"/>
                <w:vertAlign w:val="baseline"/>
                <w:lang w:val="en-US" w:eastAsia="zh-CN"/>
              </w:rPr>
              <w:t>（万吨）</w:t>
            </w:r>
          </w:p>
        </w:tc>
        <w:tc>
          <w:tcPr>
            <w:tcW w:w="1470" w:type="dxa"/>
            <w:shd w:val="clear" w:color="auto" w:fill="auto"/>
            <w:tcMar>
              <w:top w:w="15" w:type="dxa"/>
              <w:left w:w="15" w:type="dxa"/>
              <w:right w:w="15" w:type="dxa"/>
            </w:tcMar>
            <w:vAlign w:val="center"/>
          </w:tcPr>
          <w:p w14:paraId="3E0C25CC">
            <w:pPr>
              <w:keepNext w:val="0"/>
              <w:keepLines w:val="0"/>
              <w:pageBreakBefore w:val="0"/>
              <w:widowControl w:val="0"/>
              <w:kinsoku/>
              <w:wordWrap/>
              <w:overflowPunct/>
              <w:topLinePunct w:val="0"/>
              <w:autoSpaceDE/>
              <w:autoSpaceDN/>
              <w:bidi w:val="0"/>
              <w:adjustRightInd/>
              <w:snapToGrid/>
              <w:spacing w:beforeAutospacing="0" w:afterAutospacing="0" w:line="320" w:lineRule="exact"/>
              <w:ind w:left="0" w:leftChars="0" w:firstLine="0" w:firstLineChars="0"/>
              <w:jc w:val="center"/>
              <w:textAlignment w:val="auto"/>
              <w:rPr>
                <w:rFonts w:hint="eastAsia" w:ascii="黑体" w:hAnsi="黑体" w:eastAsia="黑体" w:cs="黑体"/>
                <w:sz w:val="24"/>
                <w:szCs w:val="24"/>
                <w:highlight w:val="none"/>
                <w:vertAlign w:val="baseline"/>
                <w:lang w:val="en-US" w:eastAsia="zh-CN"/>
              </w:rPr>
            </w:pPr>
            <w:r>
              <w:rPr>
                <w:rFonts w:hint="eastAsia" w:ascii="黑体" w:hAnsi="黑体" w:eastAsia="黑体" w:cs="黑体"/>
                <w:sz w:val="24"/>
                <w:szCs w:val="24"/>
                <w:highlight w:val="none"/>
                <w:vertAlign w:val="baseline"/>
                <w:lang w:val="en-US" w:eastAsia="zh-CN"/>
              </w:rPr>
              <w:t>直接利用量</w:t>
            </w:r>
          </w:p>
          <w:p w14:paraId="4B1347F7">
            <w:pPr>
              <w:keepNext w:val="0"/>
              <w:keepLines w:val="0"/>
              <w:pageBreakBefore w:val="0"/>
              <w:widowControl w:val="0"/>
              <w:kinsoku/>
              <w:wordWrap/>
              <w:overflowPunct/>
              <w:topLinePunct w:val="0"/>
              <w:autoSpaceDE/>
              <w:autoSpaceDN/>
              <w:bidi w:val="0"/>
              <w:adjustRightInd/>
              <w:snapToGrid/>
              <w:spacing w:beforeAutospacing="0" w:afterAutospacing="0" w:line="320" w:lineRule="exact"/>
              <w:ind w:left="0" w:leftChars="0" w:firstLine="0" w:firstLineChars="0"/>
              <w:jc w:val="center"/>
              <w:textAlignment w:val="auto"/>
              <w:rPr>
                <w:rFonts w:hint="eastAsia" w:ascii="黑体" w:hAnsi="黑体" w:eastAsia="黑体" w:cs="黑体"/>
                <w:sz w:val="24"/>
                <w:szCs w:val="24"/>
                <w:highlight w:val="none"/>
                <w:vertAlign w:val="baseline"/>
                <w:lang w:val="en-US" w:eastAsia="zh-CN"/>
              </w:rPr>
            </w:pPr>
            <w:r>
              <w:rPr>
                <w:rFonts w:hint="eastAsia" w:ascii="黑体" w:hAnsi="黑体" w:eastAsia="黑体" w:cs="黑体"/>
                <w:sz w:val="24"/>
                <w:szCs w:val="24"/>
                <w:highlight w:val="none"/>
                <w:vertAlign w:val="baseline"/>
                <w:lang w:val="en-US" w:eastAsia="zh-CN"/>
              </w:rPr>
              <w:t>（万吨）</w:t>
            </w:r>
          </w:p>
        </w:tc>
        <w:tc>
          <w:tcPr>
            <w:tcW w:w="1875" w:type="dxa"/>
            <w:shd w:val="clear" w:color="auto" w:fill="auto"/>
            <w:tcMar>
              <w:top w:w="15" w:type="dxa"/>
              <w:left w:w="15" w:type="dxa"/>
              <w:right w:w="15" w:type="dxa"/>
            </w:tcMar>
            <w:vAlign w:val="center"/>
          </w:tcPr>
          <w:p w14:paraId="7C291BBC">
            <w:pPr>
              <w:keepNext w:val="0"/>
              <w:keepLines w:val="0"/>
              <w:pageBreakBefore w:val="0"/>
              <w:widowControl w:val="0"/>
              <w:kinsoku/>
              <w:wordWrap/>
              <w:overflowPunct/>
              <w:topLinePunct w:val="0"/>
              <w:autoSpaceDE/>
              <w:autoSpaceDN/>
              <w:bidi w:val="0"/>
              <w:adjustRightInd/>
              <w:snapToGrid/>
              <w:spacing w:beforeAutospacing="0" w:afterAutospacing="0" w:line="320" w:lineRule="exact"/>
              <w:ind w:left="0" w:leftChars="0" w:firstLine="0" w:firstLineChars="0"/>
              <w:jc w:val="center"/>
              <w:textAlignment w:val="auto"/>
              <w:rPr>
                <w:rFonts w:hint="eastAsia" w:ascii="黑体" w:hAnsi="黑体" w:eastAsia="黑体" w:cs="黑体"/>
                <w:sz w:val="24"/>
                <w:szCs w:val="24"/>
                <w:highlight w:val="none"/>
                <w:vertAlign w:val="baseline"/>
                <w:lang w:val="en-US" w:eastAsia="zh-CN"/>
              </w:rPr>
            </w:pPr>
            <w:r>
              <w:rPr>
                <w:rFonts w:hint="eastAsia" w:ascii="黑体" w:hAnsi="黑体" w:eastAsia="黑体" w:cs="黑体"/>
                <w:sz w:val="24"/>
                <w:szCs w:val="24"/>
                <w:highlight w:val="none"/>
                <w:vertAlign w:val="baseline"/>
                <w:lang w:val="en-US" w:eastAsia="zh-CN"/>
              </w:rPr>
              <w:t>资源化利用量</w:t>
            </w:r>
          </w:p>
          <w:p w14:paraId="18041A37">
            <w:pPr>
              <w:keepNext w:val="0"/>
              <w:keepLines w:val="0"/>
              <w:pageBreakBefore w:val="0"/>
              <w:widowControl w:val="0"/>
              <w:kinsoku/>
              <w:wordWrap/>
              <w:overflowPunct/>
              <w:topLinePunct w:val="0"/>
              <w:autoSpaceDE/>
              <w:autoSpaceDN/>
              <w:bidi w:val="0"/>
              <w:adjustRightInd/>
              <w:snapToGrid/>
              <w:spacing w:beforeAutospacing="0" w:afterAutospacing="0" w:line="320" w:lineRule="exact"/>
              <w:ind w:left="0" w:leftChars="0" w:firstLine="0" w:firstLineChars="0"/>
              <w:jc w:val="center"/>
              <w:textAlignment w:val="auto"/>
              <w:rPr>
                <w:rFonts w:hint="eastAsia" w:ascii="黑体" w:hAnsi="黑体" w:eastAsia="黑体" w:cs="黑体"/>
                <w:sz w:val="24"/>
                <w:szCs w:val="24"/>
                <w:highlight w:val="none"/>
                <w:vertAlign w:val="baseline"/>
                <w:lang w:val="en-US" w:eastAsia="zh-CN"/>
              </w:rPr>
            </w:pPr>
            <w:r>
              <w:rPr>
                <w:rFonts w:hint="eastAsia" w:ascii="黑体" w:hAnsi="黑体" w:eastAsia="黑体" w:cs="黑体"/>
                <w:sz w:val="24"/>
                <w:szCs w:val="24"/>
                <w:highlight w:val="none"/>
                <w:vertAlign w:val="baseline"/>
                <w:lang w:val="en-US" w:eastAsia="zh-CN"/>
              </w:rPr>
              <w:t>（万吨）</w:t>
            </w:r>
          </w:p>
        </w:tc>
        <w:tc>
          <w:tcPr>
            <w:tcW w:w="1320" w:type="dxa"/>
            <w:shd w:val="clear" w:color="auto" w:fill="auto"/>
            <w:tcMar>
              <w:top w:w="15" w:type="dxa"/>
              <w:left w:w="15" w:type="dxa"/>
              <w:right w:w="15" w:type="dxa"/>
            </w:tcMar>
            <w:vAlign w:val="center"/>
          </w:tcPr>
          <w:p w14:paraId="5FDC2FA5">
            <w:pPr>
              <w:keepNext w:val="0"/>
              <w:keepLines w:val="0"/>
              <w:pageBreakBefore w:val="0"/>
              <w:widowControl w:val="0"/>
              <w:kinsoku/>
              <w:wordWrap/>
              <w:overflowPunct/>
              <w:topLinePunct w:val="0"/>
              <w:autoSpaceDE/>
              <w:autoSpaceDN/>
              <w:bidi w:val="0"/>
              <w:adjustRightInd/>
              <w:snapToGrid/>
              <w:spacing w:beforeAutospacing="0" w:afterAutospacing="0" w:line="320" w:lineRule="exact"/>
              <w:ind w:left="0" w:leftChars="0" w:firstLine="0" w:firstLineChars="0"/>
              <w:jc w:val="center"/>
              <w:textAlignment w:val="auto"/>
              <w:rPr>
                <w:rFonts w:hint="eastAsia" w:ascii="黑体" w:hAnsi="黑体" w:eastAsia="黑体" w:cs="黑体"/>
                <w:sz w:val="24"/>
                <w:szCs w:val="24"/>
                <w:highlight w:val="none"/>
                <w:vertAlign w:val="baseline"/>
                <w:lang w:val="en-US" w:eastAsia="zh-CN"/>
              </w:rPr>
            </w:pPr>
            <w:r>
              <w:rPr>
                <w:rFonts w:hint="eastAsia" w:ascii="黑体" w:hAnsi="黑体" w:eastAsia="黑体" w:cs="黑体"/>
                <w:sz w:val="24"/>
                <w:szCs w:val="24"/>
                <w:highlight w:val="none"/>
                <w:vertAlign w:val="baseline"/>
                <w:lang w:val="en-US" w:eastAsia="zh-CN"/>
              </w:rPr>
              <w:t>处置量</w:t>
            </w:r>
          </w:p>
          <w:p w14:paraId="42442275">
            <w:pPr>
              <w:keepNext w:val="0"/>
              <w:keepLines w:val="0"/>
              <w:pageBreakBefore w:val="0"/>
              <w:widowControl w:val="0"/>
              <w:kinsoku/>
              <w:wordWrap/>
              <w:overflowPunct/>
              <w:topLinePunct w:val="0"/>
              <w:autoSpaceDE/>
              <w:autoSpaceDN/>
              <w:bidi w:val="0"/>
              <w:adjustRightInd/>
              <w:snapToGrid/>
              <w:spacing w:beforeAutospacing="0" w:afterAutospacing="0" w:line="320" w:lineRule="exact"/>
              <w:ind w:left="0" w:leftChars="0" w:firstLine="0" w:firstLineChars="0"/>
              <w:jc w:val="center"/>
              <w:textAlignment w:val="auto"/>
              <w:rPr>
                <w:rFonts w:hint="eastAsia" w:ascii="黑体" w:hAnsi="黑体" w:eastAsia="黑体" w:cs="黑体"/>
                <w:sz w:val="24"/>
                <w:szCs w:val="24"/>
                <w:highlight w:val="none"/>
                <w:vertAlign w:val="baseline"/>
                <w:lang w:val="en-US" w:eastAsia="zh-CN"/>
              </w:rPr>
            </w:pPr>
            <w:r>
              <w:rPr>
                <w:rFonts w:hint="eastAsia" w:ascii="黑体" w:hAnsi="黑体" w:eastAsia="黑体" w:cs="黑体"/>
                <w:sz w:val="24"/>
                <w:szCs w:val="24"/>
                <w:highlight w:val="none"/>
                <w:vertAlign w:val="baseline"/>
                <w:lang w:val="en-US" w:eastAsia="zh-CN"/>
              </w:rPr>
              <w:t>（万吨）</w:t>
            </w:r>
          </w:p>
        </w:tc>
      </w:tr>
      <w:tr w14:paraId="3B010F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516" w:hRule="atLeast"/>
          <w:jc w:val="center"/>
        </w:trPr>
        <w:tc>
          <w:tcPr>
            <w:tcW w:w="2071" w:type="dxa"/>
            <w:shd w:val="clear" w:color="auto" w:fill="auto"/>
            <w:tcMar>
              <w:top w:w="15" w:type="dxa"/>
              <w:left w:w="15" w:type="dxa"/>
              <w:right w:w="15" w:type="dxa"/>
            </w:tcMar>
            <w:vAlign w:val="center"/>
          </w:tcPr>
          <w:p w14:paraId="4C47DA8B">
            <w:pPr>
              <w:keepNext w:val="0"/>
              <w:keepLines w:val="0"/>
              <w:pageBreakBefore w:val="0"/>
              <w:widowControl w:val="0"/>
              <w:kinsoku/>
              <w:wordWrap/>
              <w:overflowPunct/>
              <w:topLinePunct w:val="0"/>
              <w:autoSpaceDE/>
              <w:autoSpaceDN/>
              <w:bidi w:val="0"/>
              <w:adjustRightInd/>
              <w:snapToGrid/>
              <w:spacing w:beforeAutospacing="0" w:afterAutospacing="0" w:line="32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工程渣土</w:t>
            </w:r>
          </w:p>
        </w:tc>
        <w:tc>
          <w:tcPr>
            <w:tcW w:w="1125" w:type="dxa"/>
            <w:shd w:val="clear" w:color="auto" w:fill="auto"/>
            <w:tcMar>
              <w:top w:w="15" w:type="dxa"/>
              <w:left w:w="15" w:type="dxa"/>
              <w:right w:w="15" w:type="dxa"/>
            </w:tcMar>
            <w:vAlign w:val="center"/>
          </w:tcPr>
          <w:p w14:paraId="6BE62631">
            <w:pPr>
              <w:keepNext w:val="0"/>
              <w:keepLines w:val="0"/>
              <w:pageBreakBefore w:val="0"/>
              <w:widowControl w:val="0"/>
              <w:kinsoku/>
              <w:wordWrap/>
              <w:overflowPunct/>
              <w:topLinePunct w:val="0"/>
              <w:autoSpaceDE/>
              <w:autoSpaceDN/>
              <w:bidi w:val="0"/>
              <w:adjustRightInd/>
              <w:snapToGrid/>
              <w:spacing w:beforeAutospacing="0" w:afterAutospacing="0" w:line="32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 xml:space="preserve">290.6 </w:t>
            </w:r>
          </w:p>
        </w:tc>
        <w:tc>
          <w:tcPr>
            <w:tcW w:w="1470" w:type="dxa"/>
            <w:shd w:val="clear" w:color="auto" w:fill="auto"/>
            <w:tcMar>
              <w:top w:w="15" w:type="dxa"/>
              <w:left w:w="15" w:type="dxa"/>
              <w:right w:w="15" w:type="dxa"/>
            </w:tcMar>
            <w:vAlign w:val="center"/>
          </w:tcPr>
          <w:p w14:paraId="00BA366E">
            <w:pPr>
              <w:keepNext w:val="0"/>
              <w:keepLines w:val="0"/>
              <w:pageBreakBefore w:val="0"/>
              <w:widowControl w:val="0"/>
              <w:kinsoku/>
              <w:wordWrap/>
              <w:overflowPunct/>
              <w:topLinePunct w:val="0"/>
              <w:autoSpaceDE/>
              <w:autoSpaceDN/>
              <w:bidi w:val="0"/>
              <w:adjustRightInd/>
              <w:snapToGrid/>
              <w:spacing w:beforeAutospacing="0" w:afterAutospacing="0" w:line="32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 xml:space="preserve">174.4 </w:t>
            </w:r>
          </w:p>
        </w:tc>
        <w:tc>
          <w:tcPr>
            <w:tcW w:w="1875" w:type="dxa"/>
            <w:shd w:val="clear" w:color="auto" w:fill="auto"/>
            <w:tcMar>
              <w:top w:w="15" w:type="dxa"/>
              <w:left w:w="15" w:type="dxa"/>
              <w:right w:w="15" w:type="dxa"/>
            </w:tcMar>
            <w:vAlign w:val="center"/>
          </w:tcPr>
          <w:p w14:paraId="5E6B17B6">
            <w:pPr>
              <w:keepNext w:val="0"/>
              <w:keepLines w:val="0"/>
              <w:pageBreakBefore w:val="0"/>
              <w:widowControl w:val="0"/>
              <w:kinsoku/>
              <w:wordWrap/>
              <w:overflowPunct/>
              <w:topLinePunct w:val="0"/>
              <w:autoSpaceDE/>
              <w:autoSpaceDN/>
              <w:bidi w:val="0"/>
              <w:adjustRightInd/>
              <w:snapToGrid/>
              <w:spacing w:beforeAutospacing="0" w:afterAutospacing="0" w:line="32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 xml:space="preserve">58.1 </w:t>
            </w:r>
          </w:p>
        </w:tc>
        <w:tc>
          <w:tcPr>
            <w:tcW w:w="1320" w:type="dxa"/>
            <w:shd w:val="clear" w:color="auto" w:fill="auto"/>
            <w:tcMar>
              <w:top w:w="15" w:type="dxa"/>
              <w:left w:w="15" w:type="dxa"/>
              <w:right w:w="15" w:type="dxa"/>
            </w:tcMar>
            <w:vAlign w:val="center"/>
          </w:tcPr>
          <w:p w14:paraId="171345F2">
            <w:pPr>
              <w:keepNext w:val="0"/>
              <w:keepLines w:val="0"/>
              <w:pageBreakBefore w:val="0"/>
              <w:widowControl w:val="0"/>
              <w:kinsoku/>
              <w:wordWrap/>
              <w:overflowPunct/>
              <w:topLinePunct w:val="0"/>
              <w:autoSpaceDE/>
              <w:autoSpaceDN/>
              <w:bidi w:val="0"/>
              <w:adjustRightInd/>
              <w:snapToGrid/>
              <w:spacing w:beforeAutospacing="0" w:afterAutospacing="0" w:line="32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 xml:space="preserve">58.1 </w:t>
            </w:r>
          </w:p>
        </w:tc>
      </w:tr>
      <w:tr w14:paraId="686EE7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6" w:hRule="atLeast"/>
          <w:jc w:val="center"/>
        </w:trPr>
        <w:tc>
          <w:tcPr>
            <w:tcW w:w="2071" w:type="dxa"/>
            <w:shd w:val="clear" w:color="auto" w:fill="auto"/>
            <w:tcMar>
              <w:top w:w="15" w:type="dxa"/>
              <w:left w:w="15" w:type="dxa"/>
              <w:right w:w="15" w:type="dxa"/>
            </w:tcMar>
            <w:vAlign w:val="center"/>
          </w:tcPr>
          <w:p w14:paraId="594955C6">
            <w:pPr>
              <w:keepNext w:val="0"/>
              <w:keepLines w:val="0"/>
              <w:pageBreakBefore w:val="0"/>
              <w:widowControl w:val="0"/>
              <w:kinsoku/>
              <w:wordWrap/>
              <w:overflowPunct/>
              <w:topLinePunct w:val="0"/>
              <w:autoSpaceDE/>
              <w:autoSpaceDN/>
              <w:bidi w:val="0"/>
              <w:adjustRightInd/>
              <w:snapToGrid/>
              <w:spacing w:beforeAutospacing="0" w:afterAutospacing="0" w:line="32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工程泥浆</w:t>
            </w:r>
          </w:p>
        </w:tc>
        <w:tc>
          <w:tcPr>
            <w:tcW w:w="1125" w:type="dxa"/>
            <w:shd w:val="clear" w:color="auto" w:fill="auto"/>
            <w:tcMar>
              <w:top w:w="15" w:type="dxa"/>
              <w:left w:w="15" w:type="dxa"/>
              <w:right w:w="15" w:type="dxa"/>
            </w:tcMar>
            <w:vAlign w:val="center"/>
          </w:tcPr>
          <w:p w14:paraId="05E4A726">
            <w:pPr>
              <w:keepNext w:val="0"/>
              <w:keepLines w:val="0"/>
              <w:pageBreakBefore w:val="0"/>
              <w:widowControl w:val="0"/>
              <w:kinsoku/>
              <w:wordWrap/>
              <w:overflowPunct/>
              <w:topLinePunct w:val="0"/>
              <w:autoSpaceDE/>
              <w:autoSpaceDN/>
              <w:bidi w:val="0"/>
              <w:adjustRightInd/>
              <w:snapToGrid/>
              <w:spacing w:beforeAutospacing="0" w:afterAutospacing="0" w:line="32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 xml:space="preserve">6.7 </w:t>
            </w:r>
          </w:p>
        </w:tc>
        <w:tc>
          <w:tcPr>
            <w:tcW w:w="1470" w:type="dxa"/>
            <w:shd w:val="clear" w:color="auto" w:fill="auto"/>
            <w:tcMar>
              <w:top w:w="15" w:type="dxa"/>
              <w:left w:w="15" w:type="dxa"/>
              <w:right w:w="15" w:type="dxa"/>
            </w:tcMar>
            <w:vAlign w:val="center"/>
          </w:tcPr>
          <w:p w14:paraId="5CEEAD42">
            <w:pPr>
              <w:keepNext w:val="0"/>
              <w:keepLines w:val="0"/>
              <w:pageBreakBefore w:val="0"/>
              <w:widowControl w:val="0"/>
              <w:kinsoku/>
              <w:wordWrap/>
              <w:overflowPunct/>
              <w:topLinePunct w:val="0"/>
              <w:autoSpaceDE/>
              <w:autoSpaceDN/>
              <w:bidi w:val="0"/>
              <w:adjustRightInd/>
              <w:snapToGrid/>
              <w:spacing w:beforeAutospacing="0" w:afterAutospacing="0" w:line="32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 xml:space="preserve">0.0 </w:t>
            </w:r>
          </w:p>
        </w:tc>
        <w:tc>
          <w:tcPr>
            <w:tcW w:w="1875" w:type="dxa"/>
            <w:shd w:val="clear" w:color="auto" w:fill="auto"/>
            <w:tcMar>
              <w:top w:w="15" w:type="dxa"/>
              <w:left w:w="15" w:type="dxa"/>
              <w:right w:w="15" w:type="dxa"/>
            </w:tcMar>
            <w:vAlign w:val="center"/>
          </w:tcPr>
          <w:p w14:paraId="7B7B51AD">
            <w:pPr>
              <w:keepNext w:val="0"/>
              <w:keepLines w:val="0"/>
              <w:pageBreakBefore w:val="0"/>
              <w:widowControl w:val="0"/>
              <w:kinsoku/>
              <w:wordWrap/>
              <w:overflowPunct/>
              <w:topLinePunct w:val="0"/>
              <w:autoSpaceDE/>
              <w:autoSpaceDN/>
              <w:bidi w:val="0"/>
              <w:adjustRightInd/>
              <w:snapToGrid/>
              <w:spacing w:beforeAutospacing="0" w:afterAutospacing="0" w:line="32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 xml:space="preserve">0.7 </w:t>
            </w:r>
          </w:p>
        </w:tc>
        <w:tc>
          <w:tcPr>
            <w:tcW w:w="1320" w:type="dxa"/>
            <w:shd w:val="clear" w:color="auto" w:fill="auto"/>
            <w:tcMar>
              <w:top w:w="15" w:type="dxa"/>
              <w:left w:w="15" w:type="dxa"/>
              <w:right w:w="15" w:type="dxa"/>
            </w:tcMar>
            <w:vAlign w:val="center"/>
          </w:tcPr>
          <w:p w14:paraId="1F203D3E">
            <w:pPr>
              <w:keepNext w:val="0"/>
              <w:keepLines w:val="0"/>
              <w:pageBreakBefore w:val="0"/>
              <w:widowControl w:val="0"/>
              <w:kinsoku/>
              <w:wordWrap/>
              <w:overflowPunct/>
              <w:topLinePunct w:val="0"/>
              <w:autoSpaceDE/>
              <w:autoSpaceDN/>
              <w:bidi w:val="0"/>
              <w:adjustRightInd/>
              <w:snapToGrid/>
              <w:spacing w:beforeAutospacing="0" w:afterAutospacing="0" w:line="32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 xml:space="preserve">6.0 </w:t>
            </w:r>
          </w:p>
        </w:tc>
      </w:tr>
      <w:tr w14:paraId="7356F3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516" w:hRule="atLeast"/>
          <w:jc w:val="center"/>
        </w:trPr>
        <w:tc>
          <w:tcPr>
            <w:tcW w:w="2071" w:type="dxa"/>
            <w:shd w:val="clear" w:color="auto" w:fill="auto"/>
            <w:tcMar>
              <w:top w:w="15" w:type="dxa"/>
              <w:left w:w="15" w:type="dxa"/>
              <w:right w:w="15" w:type="dxa"/>
            </w:tcMar>
            <w:vAlign w:val="center"/>
          </w:tcPr>
          <w:p w14:paraId="5FEE8032">
            <w:pPr>
              <w:keepNext w:val="0"/>
              <w:keepLines w:val="0"/>
              <w:pageBreakBefore w:val="0"/>
              <w:widowControl w:val="0"/>
              <w:kinsoku/>
              <w:wordWrap/>
              <w:overflowPunct/>
              <w:topLinePunct w:val="0"/>
              <w:autoSpaceDE/>
              <w:autoSpaceDN/>
              <w:bidi w:val="0"/>
              <w:adjustRightInd/>
              <w:snapToGrid/>
              <w:spacing w:beforeAutospacing="0" w:afterAutospacing="0" w:line="32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工程垃圾</w:t>
            </w:r>
          </w:p>
        </w:tc>
        <w:tc>
          <w:tcPr>
            <w:tcW w:w="1125" w:type="dxa"/>
            <w:shd w:val="clear" w:color="auto" w:fill="auto"/>
            <w:tcMar>
              <w:top w:w="15" w:type="dxa"/>
              <w:left w:w="15" w:type="dxa"/>
              <w:right w:w="15" w:type="dxa"/>
            </w:tcMar>
            <w:vAlign w:val="center"/>
          </w:tcPr>
          <w:p w14:paraId="68B06D5C">
            <w:pPr>
              <w:keepNext w:val="0"/>
              <w:keepLines w:val="0"/>
              <w:pageBreakBefore w:val="0"/>
              <w:widowControl w:val="0"/>
              <w:kinsoku/>
              <w:wordWrap/>
              <w:overflowPunct/>
              <w:topLinePunct w:val="0"/>
              <w:autoSpaceDE/>
              <w:autoSpaceDN/>
              <w:bidi w:val="0"/>
              <w:adjustRightInd/>
              <w:snapToGrid/>
              <w:spacing w:beforeAutospacing="0" w:afterAutospacing="0" w:line="32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 xml:space="preserve">6.7 </w:t>
            </w:r>
          </w:p>
        </w:tc>
        <w:tc>
          <w:tcPr>
            <w:tcW w:w="1470" w:type="dxa"/>
            <w:shd w:val="clear" w:color="auto" w:fill="auto"/>
            <w:tcMar>
              <w:top w:w="15" w:type="dxa"/>
              <w:left w:w="15" w:type="dxa"/>
              <w:right w:w="15" w:type="dxa"/>
            </w:tcMar>
            <w:vAlign w:val="center"/>
          </w:tcPr>
          <w:p w14:paraId="31D93811">
            <w:pPr>
              <w:keepNext w:val="0"/>
              <w:keepLines w:val="0"/>
              <w:pageBreakBefore w:val="0"/>
              <w:widowControl w:val="0"/>
              <w:kinsoku/>
              <w:wordWrap/>
              <w:overflowPunct/>
              <w:topLinePunct w:val="0"/>
              <w:autoSpaceDE/>
              <w:autoSpaceDN/>
              <w:bidi w:val="0"/>
              <w:adjustRightInd/>
              <w:snapToGrid/>
              <w:spacing w:beforeAutospacing="0" w:afterAutospacing="0" w:line="32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 xml:space="preserve">0.7 </w:t>
            </w:r>
          </w:p>
        </w:tc>
        <w:tc>
          <w:tcPr>
            <w:tcW w:w="1875" w:type="dxa"/>
            <w:shd w:val="clear" w:color="auto" w:fill="auto"/>
            <w:tcMar>
              <w:top w:w="15" w:type="dxa"/>
              <w:left w:w="15" w:type="dxa"/>
              <w:right w:w="15" w:type="dxa"/>
            </w:tcMar>
            <w:vAlign w:val="center"/>
          </w:tcPr>
          <w:p w14:paraId="0AE4FA7E">
            <w:pPr>
              <w:keepNext w:val="0"/>
              <w:keepLines w:val="0"/>
              <w:pageBreakBefore w:val="0"/>
              <w:widowControl w:val="0"/>
              <w:kinsoku/>
              <w:wordWrap/>
              <w:overflowPunct/>
              <w:topLinePunct w:val="0"/>
              <w:autoSpaceDE/>
              <w:autoSpaceDN/>
              <w:bidi w:val="0"/>
              <w:adjustRightInd/>
              <w:snapToGrid/>
              <w:spacing w:beforeAutospacing="0" w:afterAutospacing="0" w:line="32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 xml:space="preserve">4.7 </w:t>
            </w:r>
          </w:p>
        </w:tc>
        <w:tc>
          <w:tcPr>
            <w:tcW w:w="1320" w:type="dxa"/>
            <w:shd w:val="clear" w:color="auto" w:fill="auto"/>
            <w:tcMar>
              <w:top w:w="15" w:type="dxa"/>
              <w:left w:w="15" w:type="dxa"/>
              <w:right w:w="15" w:type="dxa"/>
            </w:tcMar>
            <w:vAlign w:val="center"/>
          </w:tcPr>
          <w:p w14:paraId="14941469">
            <w:pPr>
              <w:keepNext w:val="0"/>
              <w:keepLines w:val="0"/>
              <w:pageBreakBefore w:val="0"/>
              <w:widowControl w:val="0"/>
              <w:kinsoku/>
              <w:wordWrap/>
              <w:overflowPunct/>
              <w:topLinePunct w:val="0"/>
              <w:autoSpaceDE/>
              <w:autoSpaceDN/>
              <w:bidi w:val="0"/>
              <w:adjustRightInd/>
              <w:snapToGrid/>
              <w:spacing w:beforeAutospacing="0" w:afterAutospacing="0" w:line="32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 xml:space="preserve">1.3 </w:t>
            </w:r>
          </w:p>
        </w:tc>
      </w:tr>
      <w:tr w14:paraId="67A847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516" w:hRule="atLeast"/>
          <w:jc w:val="center"/>
        </w:trPr>
        <w:tc>
          <w:tcPr>
            <w:tcW w:w="2071" w:type="dxa"/>
            <w:shd w:val="clear" w:color="auto" w:fill="auto"/>
            <w:tcMar>
              <w:top w:w="15" w:type="dxa"/>
              <w:left w:w="15" w:type="dxa"/>
              <w:right w:w="15" w:type="dxa"/>
            </w:tcMar>
            <w:vAlign w:val="center"/>
          </w:tcPr>
          <w:p w14:paraId="3C29D0E3">
            <w:pPr>
              <w:keepNext w:val="0"/>
              <w:keepLines w:val="0"/>
              <w:pageBreakBefore w:val="0"/>
              <w:widowControl w:val="0"/>
              <w:kinsoku/>
              <w:wordWrap/>
              <w:overflowPunct/>
              <w:topLinePunct w:val="0"/>
              <w:autoSpaceDE/>
              <w:autoSpaceDN/>
              <w:bidi w:val="0"/>
              <w:adjustRightInd/>
              <w:snapToGrid/>
              <w:spacing w:beforeAutospacing="0" w:afterAutospacing="0" w:line="32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拆除垃圾</w:t>
            </w:r>
          </w:p>
        </w:tc>
        <w:tc>
          <w:tcPr>
            <w:tcW w:w="1125" w:type="dxa"/>
            <w:shd w:val="clear" w:color="auto" w:fill="auto"/>
            <w:tcMar>
              <w:top w:w="15" w:type="dxa"/>
              <w:left w:w="15" w:type="dxa"/>
              <w:right w:w="15" w:type="dxa"/>
            </w:tcMar>
            <w:vAlign w:val="center"/>
          </w:tcPr>
          <w:p w14:paraId="2A9DC0FE">
            <w:pPr>
              <w:keepNext w:val="0"/>
              <w:keepLines w:val="0"/>
              <w:pageBreakBefore w:val="0"/>
              <w:widowControl w:val="0"/>
              <w:kinsoku/>
              <w:wordWrap/>
              <w:overflowPunct/>
              <w:topLinePunct w:val="0"/>
              <w:autoSpaceDE/>
              <w:autoSpaceDN/>
              <w:bidi w:val="0"/>
              <w:adjustRightInd/>
              <w:snapToGrid/>
              <w:spacing w:beforeAutospacing="0" w:afterAutospacing="0" w:line="32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 xml:space="preserve">26.8 </w:t>
            </w:r>
          </w:p>
        </w:tc>
        <w:tc>
          <w:tcPr>
            <w:tcW w:w="1470" w:type="dxa"/>
            <w:shd w:val="clear" w:color="auto" w:fill="auto"/>
            <w:tcMar>
              <w:top w:w="15" w:type="dxa"/>
              <w:left w:w="15" w:type="dxa"/>
              <w:right w:w="15" w:type="dxa"/>
            </w:tcMar>
            <w:vAlign w:val="center"/>
          </w:tcPr>
          <w:p w14:paraId="28B68AFD">
            <w:pPr>
              <w:keepNext w:val="0"/>
              <w:keepLines w:val="0"/>
              <w:pageBreakBefore w:val="0"/>
              <w:widowControl w:val="0"/>
              <w:kinsoku/>
              <w:wordWrap/>
              <w:overflowPunct/>
              <w:topLinePunct w:val="0"/>
              <w:autoSpaceDE/>
              <w:autoSpaceDN/>
              <w:bidi w:val="0"/>
              <w:adjustRightInd/>
              <w:snapToGrid/>
              <w:spacing w:beforeAutospacing="0" w:afterAutospacing="0" w:line="32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 xml:space="preserve">2.7 </w:t>
            </w:r>
          </w:p>
        </w:tc>
        <w:tc>
          <w:tcPr>
            <w:tcW w:w="1875" w:type="dxa"/>
            <w:shd w:val="clear" w:color="auto" w:fill="auto"/>
            <w:tcMar>
              <w:top w:w="15" w:type="dxa"/>
              <w:left w:w="15" w:type="dxa"/>
              <w:right w:w="15" w:type="dxa"/>
            </w:tcMar>
            <w:vAlign w:val="center"/>
          </w:tcPr>
          <w:p w14:paraId="171C648E">
            <w:pPr>
              <w:keepNext w:val="0"/>
              <w:keepLines w:val="0"/>
              <w:pageBreakBefore w:val="0"/>
              <w:widowControl w:val="0"/>
              <w:kinsoku/>
              <w:wordWrap/>
              <w:overflowPunct/>
              <w:topLinePunct w:val="0"/>
              <w:autoSpaceDE/>
              <w:autoSpaceDN/>
              <w:bidi w:val="0"/>
              <w:adjustRightInd/>
              <w:snapToGrid/>
              <w:spacing w:beforeAutospacing="0" w:afterAutospacing="0" w:line="32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 xml:space="preserve">18.8 </w:t>
            </w:r>
          </w:p>
        </w:tc>
        <w:tc>
          <w:tcPr>
            <w:tcW w:w="1320" w:type="dxa"/>
            <w:shd w:val="clear" w:color="auto" w:fill="auto"/>
            <w:tcMar>
              <w:top w:w="15" w:type="dxa"/>
              <w:left w:w="15" w:type="dxa"/>
              <w:right w:w="15" w:type="dxa"/>
            </w:tcMar>
            <w:vAlign w:val="center"/>
          </w:tcPr>
          <w:p w14:paraId="68A64229">
            <w:pPr>
              <w:keepNext w:val="0"/>
              <w:keepLines w:val="0"/>
              <w:pageBreakBefore w:val="0"/>
              <w:widowControl w:val="0"/>
              <w:kinsoku/>
              <w:wordWrap/>
              <w:overflowPunct/>
              <w:topLinePunct w:val="0"/>
              <w:autoSpaceDE/>
              <w:autoSpaceDN/>
              <w:bidi w:val="0"/>
              <w:adjustRightInd/>
              <w:snapToGrid/>
              <w:spacing w:beforeAutospacing="0" w:afterAutospacing="0" w:line="32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 xml:space="preserve">5.4 </w:t>
            </w:r>
          </w:p>
        </w:tc>
      </w:tr>
      <w:tr w14:paraId="1A0B9C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6" w:hRule="atLeast"/>
          <w:jc w:val="center"/>
        </w:trPr>
        <w:tc>
          <w:tcPr>
            <w:tcW w:w="2071" w:type="dxa"/>
            <w:shd w:val="clear" w:color="auto" w:fill="auto"/>
            <w:tcMar>
              <w:top w:w="15" w:type="dxa"/>
              <w:left w:w="15" w:type="dxa"/>
              <w:right w:w="15" w:type="dxa"/>
            </w:tcMar>
            <w:vAlign w:val="center"/>
          </w:tcPr>
          <w:p w14:paraId="50BD05E1">
            <w:pPr>
              <w:keepNext w:val="0"/>
              <w:keepLines w:val="0"/>
              <w:pageBreakBefore w:val="0"/>
              <w:widowControl w:val="0"/>
              <w:kinsoku/>
              <w:wordWrap/>
              <w:overflowPunct/>
              <w:topLinePunct w:val="0"/>
              <w:autoSpaceDE/>
              <w:autoSpaceDN/>
              <w:bidi w:val="0"/>
              <w:adjustRightInd/>
              <w:snapToGrid/>
              <w:spacing w:beforeAutospacing="0" w:afterAutospacing="0" w:line="32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装修垃圾</w:t>
            </w:r>
          </w:p>
        </w:tc>
        <w:tc>
          <w:tcPr>
            <w:tcW w:w="1125" w:type="dxa"/>
            <w:shd w:val="clear" w:color="auto" w:fill="auto"/>
            <w:tcMar>
              <w:top w:w="15" w:type="dxa"/>
              <w:left w:w="15" w:type="dxa"/>
              <w:right w:w="15" w:type="dxa"/>
            </w:tcMar>
            <w:vAlign w:val="center"/>
          </w:tcPr>
          <w:p w14:paraId="6B5D051A">
            <w:pPr>
              <w:keepNext w:val="0"/>
              <w:keepLines w:val="0"/>
              <w:pageBreakBefore w:val="0"/>
              <w:widowControl w:val="0"/>
              <w:kinsoku/>
              <w:wordWrap/>
              <w:overflowPunct/>
              <w:topLinePunct w:val="0"/>
              <w:autoSpaceDE/>
              <w:autoSpaceDN/>
              <w:bidi w:val="0"/>
              <w:adjustRightInd/>
              <w:snapToGrid/>
              <w:spacing w:beforeAutospacing="0" w:afterAutospacing="0" w:line="32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 xml:space="preserve">22.6 </w:t>
            </w:r>
          </w:p>
        </w:tc>
        <w:tc>
          <w:tcPr>
            <w:tcW w:w="1470" w:type="dxa"/>
            <w:shd w:val="clear" w:color="auto" w:fill="auto"/>
            <w:tcMar>
              <w:top w:w="15" w:type="dxa"/>
              <w:left w:w="15" w:type="dxa"/>
              <w:right w:w="15" w:type="dxa"/>
            </w:tcMar>
            <w:vAlign w:val="center"/>
          </w:tcPr>
          <w:p w14:paraId="6BD85031">
            <w:pPr>
              <w:keepNext w:val="0"/>
              <w:keepLines w:val="0"/>
              <w:pageBreakBefore w:val="0"/>
              <w:widowControl w:val="0"/>
              <w:kinsoku/>
              <w:wordWrap/>
              <w:overflowPunct/>
              <w:topLinePunct w:val="0"/>
              <w:autoSpaceDE/>
              <w:autoSpaceDN/>
              <w:bidi w:val="0"/>
              <w:adjustRightInd/>
              <w:snapToGrid/>
              <w:spacing w:beforeAutospacing="0" w:afterAutospacing="0" w:line="32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 xml:space="preserve">2.3 </w:t>
            </w:r>
          </w:p>
        </w:tc>
        <w:tc>
          <w:tcPr>
            <w:tcW w:w="1875" w:type="dxa"/>
            <w:shd w:val="clear" w:color="auto" w:fill="auto"/>
            <w:tcMar>
              <w:top w:w="15" w:type="dxa"/>
              <w:left w:w="15" w:type="dxa"/>
              <w:right w:w="15" w:type="dxa"/>
            </w:tcMar>
            <w:vAlign w:val="center"/>
          </w:tcPr>
          <w:p w14:paraId="3A2D127A">
            <w:pPr>
              <w:keepNext w:val="0"/>
              <w:keepLines w:val="0"/>
              <w:pageBreakBefore w:val="0"/>
              <w:widowControl w:val="0"/>
              <w:kinsoku/>
              <w:wordWrap/>
              <w:overflowPunct/>
              <w:topLinePunct w:val="0"/>
              <w:autoSpaceDE/>
              <w:autoSpaceDN/>
              <w:bidi w:val="0"/>
              <w:adjustRightInd/>
              <w:snapToGrid/>
              <w:spacing w:beforeAutospacing="0" w:afterAutospacing="0" w:line="32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 xml:space="preserve">11.3 </w:t>
            </w:r>
          </w:p>
        </w:tc>
        <w:tc>
          <w:tcPr>
            <w:tcW w:w="1320" w:type="dxa"/>
            <w:shd w:val="clear" w:color="auto" w:fill="auto"/>
            <w:tcMar>
              <w:top w:w="15" w:type="dxa"/>
              <w:left w:w="15" w:type="dxa"/>
              <w:right w:w="15" w:type="dxa"/>
            </w:tcMar>
            <w:vAlign w:val="center"/>
          </w:tcPr>
          <w:p w14:paraId="180D6D63">
            <w:pPr>
              <w:keepNext w:val="0"/>
              <w:keepLines w:val="0"/>
              <w:pageBreakBefore w:val="0"/>
              <w:widowControl w:val="0"/>
              <w:kinsoku/>
              <w:wordWrap/>
              <w:overflowPunct/>
              <w:topLinePunct w:val="0"/>
              <w:autoSpaceDE/>
              <w:autoSpaceDN/>
              <w:bidi w:val="0"/>
              <w:adjustRightInd/>
              <w:snapToGrid/>
              <w:spacing w:beforeAutospacing="0" w:afterAutospacing="0" w:line="32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 xml:space="preserve">9.0 </w:t>
            </w:r>
          </w:p>
        </w:tc>
      </w:tr>
      <w:tr w14:paraId="348B1C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516" w:hRule="atLeast"/>
          <w:jc w:val="center"/>
        </w:trPr>
        <w:tc>
          <w:tcPr>
            <w:tcW w:w="2071" w:type="dxa"/>
            <w:shd w:val="clear" w:color="auto" w:fill="auto"/>
            <w:tcMar>
              <w:top w:w="15" w:type="dxa"/>
              <w:left w:w="15" w:type="dxa"/>
              <w:right w:w="15" w:type="dxa"/>
            </w:tcMar>
            <w:vAlign w:val="center"/>
          </w:tcPr>
          <w:p w14:paraId="717D27ED">
            <w:pPr>
              <w:keepNext w:val="0"/>
              <w:keepLines w:val="0"/>
              <w:pageBreakBefore w:val="0"/>
              <w:widowControl w:val="0"/>
              <w:kinsoku/>
              <w:wordWrap/>
              <w:overflowPunct/>
              <w:topLinePunct w:val="0"/>
              <w:autoSpaceDE/>
              <w:autoSpaceDN/>
              <w:bidi w:val="0"/>
              <w:adjustRightInd/>
              <w:snapToGrid/>
              <w:spacing w:beforeAutospacing="0" w:afterAutospacing="0" w:line="32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总量</w:t>
            </w:r>
          </w:p>
        </w:tc>
        <w:tc>
          <w:tcPr>
            <w:tcW w:w="1125" w:type="dxa"/>
            <w:shd w:val="clear" w:color="auto" w:fill="auto"/>
            <w:tcMar>
              <w:top w:w="15" w:type="dxa"/>
              <w:left w:w="15" w:type="dxa"/>
              <w:right w:w="15" w:type="dxa"/>
            </w:tcMar>
            <w:vAlign w:val="center"/>
          </w:tcPr>
          <w:p w14:paraId="5C34FE21">
            <w:pPr>
              <w:keepNext w:val="0"/>
              <w:keepLines w:val="0"/>
              <w:pageBreakBefore w:val="0"/>
              <w:widowControl w:val="0"/>
              <w:kinsoku/>
              <w:wordWrap/>
              <w:overflowPunct/>
              <w:topLinePunct w:val="0"/>
              <w:autoSpaceDE/>
              <w:autoSpaceDN/>
              <w:bidi w:val="0"/>
              <w:adjustRightInd/>
              <w:snapToGrid/>
              <w:spacing w:beforeAutospacing="0" w:afterAutospacing="0" w:line="32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 xml:space="preserve">353.4 </w:t>
            </w:r>
          </w:p>
        </w:tc>
        <w:tc>
          <w:tcPr>
            <w:tcW w:w="1470" w:type="dxa"/>
            <w:shd w:val="clear" w:color="auto" w:fill="auto"/>
            <w:tcMar>
              <w:top w:w="15" w:type="dxa"/>
              <w:left w:w="15" w:type="dxa"/>
              <w:right w:w="15" w:type="dxa"/>
            </w:tcMar>
            <w:vAlign w:val="center"/>
          </w:tcPr>
          <w:p w14:paraId="31FFD5FD">
            <w:pPr>
              <w:keepNext w:val="0"/>
              <w:keepLines w:val="0"/>
              <w:pageBreakBefore w:val="0"/>
              <w:widowControl w:val="0"/>
              <w:kinsoku/>
              <w:wordWrap/>
              <w:overflowPunct/>
              <w:topLinePunct w:val="0"/>
              <w:autoSpaceDE/>
              <w:autoSpaceDN/>
              <w:bidi w:val="0"/>
              <w:adjustRightInd/>
              <w:snapToGrid/>
              <w:spacing w:beforeAutospacing="0" w:afterAutospacing="0" w:line="32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 xml:space="preserve">180.0 </w:t>
            </w:r>
          </w:p>
        </w:tc>
        <w:tc>
          <w:tcPr>
            <w:tcW w:w="1875" w:type="dxa"/>
            <w:shd w:val="clear" w:color="auto" w:fill="auto"/>
            <w:tcMar>
              <w:top w:w="15" w:type="dxa"/>
              <w:left w:w="15" w:type="dxa"/>
              <w:right w:w="15" w:type="dxa"/>
            </w:tcMar>
            <w:vAlign w:val="center"/>
          </w:tcPr>
          <w:p w14:paraId="6BA2061F">
            <w:pPr>
              <w:keepNext w:val="0"/>
              <w:keepLines w:val="0"/>
              <w:pageBreakBefore w:val="0"/>
              <w:widowControl w:val="0"/>
              <w:kinsoku/>
              <w:wordWrap/>
              <w:overflowPunct/>
              <w:topLinePunct w:val="0"/>
              <w:autoSpaceDE/>
              <w:autoSpaceDN/>
              <w:bidi w:val="0"/>
              <w:adjustRightInd/>
              <w:snapToGrid/>
              <w:spacing w:beforeAutospacing="0" w:afterAutospacing="0" w:line="32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 xml:space="preserve">93.6 </w:t>
            </w:r>
          </w:p>
        </w:tc>
        <w:tc>
          <w:tcPr>
            <w:tcW w:w="1320" w:type="dxa"/>
            <w:shd w:val="clear" w:color="auto" w:fill="auto"/>
            <w:tcMar>
              <w:top w:w="15" w:type="dxa"/>
              <w:left w:w="15" w:type="dxa"/>
              <w:right w:w="15" w:type="dxa"/>
            </w:tcMar>
            <w:vAlign w:val="center"/>
          </w:tcPr>
          <w:p w14:paraId="14896CA9">
            <w:pPr>
              <w:keepNext w:val="0"/>
              <w:keepLines w:val="0"/>
              <w:pageBreakBefore w:val="0"/>
              <w:widowControl w:val="0"/>
              <w:kinsoku/>
              <w:wordWrap/>
              <w:overflowPunct/>
              <w:topLinePunct w:val="0"/>
              <w:autoSpaceDE/>
              <w:autoSpaceDN/>
              <w:bidi w:val="0"/>
              <w:adjustRightInd/>
              <w:snapToGrid/>
              <w:spacing w:beforeAutospacing="0" w:afterAutospacing="0" w:line="32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 xml:space="preserve">79.9 </w:t>
            </w:r>
          </w:p>
        </w:tc>
      </w:tr>
      <w:tr w14:paraId="50920F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36" w:hRule="atLeast"/>
          <w:jc w:val="center"/>
        </w:trPr>
        <w:tc>
          <w:tcPr>
            <w:tcW w:w="2071" w:type="dxa"/>
            <w:shd w:val="clear" w:color="auto" w:fill="auto"/>
            <w:tcMar>
              <w:top w:w="15" w:type="dxa"/>
              <w:left w:w="15" w:type="dxa"/>
              <w:right w:w="15" w:type="dxa"/>
            </w:tcMar>
            <w:vAlign w:val="center"/>
          </w:tcPr>
          <w:p w14:paraId="5759EBF5">
            <w:pPr>
              <w:keepNext w:val="0"/>
              <w:keepLines w:val="0"/>
              <w:pageBreakBefore w:val="0"/>
              <w:widowControl w:val="0"/>
              <w:kinsoku/>
              <w:wordWrap/>
              <w:overflowPunct/>
              <w:topLinePunct w:val="0"/>
              <w:autoSpaceDE/>
              <w:autoSpaceDN/>
              <w:bidi w:val="0"/>
              <w:adjustRightInd/>
              <w:snapToGrid/>
              <w:spacing w:beforeAutospacing="0" w:afterAutospacing="0" w:line="32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年平均值（万吨/年）</w:t>
            </w:r>
          </w:p>
        </w:tc>
        <w:tc>
          <w:tcPr>
            <w:tcW w:w="1125" w:type="dxa"/>
            <w:shd w:val="clear" w:color="auto" w:fill="auto"/>
            <w:tcMar>
              <w:top w:w="15" w:type="dxa"/>
              <w:left w:w="15" w:type="dxa"/>
              <w:right w:w="15" w:type="dxa"/>
            </w:tcMar>
            <w:vAlign w:val="center"/>
          </w:tcPr>
          <w:p w14:paraId="0802B720">
            <w:pPr>
              <w:keepNext w:val="0"/>
              <w:keepLines w:val="0"/>
              <w:pageBreakBefore w:val="0"/>
              <w:widowControl w:val="0"/>
              <w:kinsoku/>
              <w:wordWrap/>
              <w:overflowPunct/>
              <w:topLinePunct w:val="0"/>
              <w:autoSpaceDE/>
              <w:autoSpaceDN/>
              <w:bidi w:val="0"/>
              <w:adjustRightInd/>
              <w:snapToGrid/>
              <w:spacing w:beforeAutospacing="0" w:afterAutospacing="0" w:line="32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 xml:space="preserve">58.9 </w:t>
            </w:r>
          </w:p>
        </w:tc>
        <w:tc>
          <w:tcPr>
            <w:tcW w:w="1470" w:type="dxa"/>
            <w:shd w:val="clear" w:color="auto" w:fill="auto"/>
            <w:tcMar>
              <w:top w:w="15" w:type="dxa"/>
              <w:left w:w="15" w:type="dxa"/>
              <w:right w:w="15" w:type="dxa"/>
            </w:tcMar>
            <w:vAlign w:val="center"/>
          </w:tcPr>
          <w:p w14:paraId="3D92FA21">
            <w:pPr>
              <w:keepNext w:val="0"/>
              <w:keepLines w:val="0"/>
              <w:pageBreakBefore w:val="0"/>
              <w:widowControl w:val="0"/>
              <w:kinsoku/>
              <w:wordWrap/>
              <w:overflowPunct/>
              <w:topLinePunct w:val="0"/>
              <w:autoSpaceDE/>
              <w:autoSpaceDN/>
              <w:bidi w:val="0"/>
              <w:adjustRightInd/>
              <w:snapToGrid/>
              <w:spacing w:beforeAutospacing="0" w:afterAutospacing="0" w:line="32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 xml:space="preserve">30.0 </w:t>
            </w:r>
          </w:p>
        </w:tc>
        <w:tc>
          <w:tcPr>
            <w:tcW w:w="1875" w:type="dxa"/>
            <w:shd w:val="clear" w:color="auto" w:fill="auto"/>
            <w:tcMar>
              <w:top w:w="15" w:type="dxa"/>
              <w:left w:w="15" w:type="dxa"/>
              <w:right w:w="15" w:type="dxa"/>
            </w:tcMar>
            <w:vAlign w:val="center"/>
          </w:tcPr>
          <w:p w14:paraId="762AB188">
            <w:pPr>
              <w:keepNext w:val="0"/>
              <w:keepLines w:val="0"/>
              <w:pageBreakBefore w:val="0"/>
              <w:widowControl w:val="0"/>
              <w:kinsoku/>
              <w:wordWrap/>
              <w:overflowPunct/>
              <w:topLinePunct w:val="0"/>
              <w:autoSpaceDE/>
              <w:autoSpaceDN/>
              <w:bidi w:val="0"/>
              <w:adjustRightInd/>
              <w:snapToGrid/>
              <w:spacing w:beforeAutospacing="0" w:afterAutospacing="0" w:line="32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 xml:space="preserve">15.6 </w:t>
            </w:r>
          </w:p>
        </w:tc>
        <w:tc>
          <w:tcPr>
            <w:tcW w:w="1320" w:type="dxa"/>
            <w:shd w:val="clear" w:color="auto" w:fill="auto"/>
            <w:tcMar>
              <w:top w:w="15" w:type="dxa"/>
              <w:left w:w="15" w:type="dxa"/>
              <w:right w:w="15" w:type="dxa"/>
            </w:tcMar>
            <w:vAlign w:val="center"/>
          </w:tcPr>
          <w:p w14:paraId="462F3579">
            <w:pPr>
              <w:keepNext w:val="0"/>
              <w:keepLines w:val="0"/>
              <w:pageBreakBefore w:val="0"/>
              <w:widowControl w:val="0"/>
              <w:kinsoku/>
              <w:wordWrap/>
              <w:overflowPunct/>
              <w:topLinePunct w:val="0"/>
              <w:autoSpaceDE/>
              <w:autoSpaceDN/>
              <w:bidi w:val="0"/>
              <w:adjustRightInd/>
              <w:snapToGrid/>
              <w:spacing w:beforeAutospacing="0" w:afterAutospacing="0" w:line="32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 xml:space="preserve">13.3 </w:t>
            </w:r>
          </w:p>
        </w:tc>
      </w:tr>
    </w:tbl>
    <w:p w14:paraId="63DAB6A9">
      <w:pPr>
        <w:pageBreakBefore w:val="0"/>
        <w:kinsoku/>
        <w:wordWrap/>
        <w:topLinePunct w:val="0"/>
        <w:bidi w:val="0"/>
        <w:spacing w:beforeAutospacing="0" w:afterAutospacing="0" w:line="560" w:lineRule="exact"/>
        <w:ind w:left="0" w:leftChars="0"/>
        <w:jc w:val="center"/>
        <w:rPr>
          <w:rFonts w:hint="eastAsia"/>
          <w:bCs/>
          <w:szCs w:val="32"/>
          <w:highlight w:val="none"/>
          <w:lang w:eastAsia="zh-CN"/>
        </w:rPr>
      </w:pPr>
    </w:p>
    <w:tbl>
      <w:tblPr>
        <w:tblStyle w:val="16"/>
        <w:tblpPr w:leftFromText="180" w:rightFromText="180" w:vertAnchor="text" w:horzAnchor="page" w:tblpX="1718" w:tblpY="784"/>
        <w:tblOverlap w:val="never"/>
        <w:tblW w:w="823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0" w:type="dxa"/>
          <w:bottom w:w="0" w:type="dxa"/>
          <w:right w:w="0" w:type="dxa"/>
        </w:tblCellMar>
      </w:tblPr>
      <w:tblGrid>
        <w:gridCol w:w="2206"/>
        <w:gridCol w:w="1720"/>
        <w:gridCol w:w="1460"/>
        <w:gridCol w:w="1620"/>
        <w:gridCol w:w="1230"/>
      </w:tblGrid>
      <w:tr w14:paraId="1C7766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678" w:hRule="atLeast"/>
        </w:trPr>
        <w:tc>
          <w:tcPr>
            <w:tcW w:w="2206" w:type="dxa"/>
            <w:tcBorders>
              <w:right w:val="single" w:color="auto" w:sz="4" w:space="0"/>
            </w:tcBorders>
            <w:shd w:val="clear" w:color="auto" w:fill="auto"/>
            <w:tcMar>
              <w:top w:w="15" w:type="dxa"/>
              <w:left w:w="15" w:type="dxa"/>
              <w:right w:w="15" w:type="dxa"/>
            </w:tcMar>
            <w:vAlign w:val="center"/>
          </w:tcPr>
          <w:p w14:paraId="07A6253A">
            <w:pPr>
              <w:keepNext w:val="0"/>
              <w:keepLines w:val="0"/>
              <w:pageBreakBefore w:val="0"/>
              <w:widowControl w:val="0"/>
              <w:kinsoku/>
              <w:wordWrap/>
              <w:overflowPunct/>
              <w:topLinePunct w:val="0"/>
              <w:autoSpaceDE/>
              <w:autoSpaceDN/>
              <w:bidi w:val="0"/>
              <w:adjustRightInd/>
              <w:snapToGrid/>
              <w:spacing w:beforeAutospacing="0" w:afterAutospacing="0" w:line="280" w:lineRule="exact"/>
              <w:ind w:left="0" w:leftChars="0" w:firstLine="0" w:firstLineChars="0"/>
              <w:jc w:val="center"/>
              <w:textAlignment w:val="auto"/>
              <w:rPr>
                <w:rFonts w:hint="eastAsia" w:ascii="黑体" w:hAnsi="黑体" w:eastAsia="黑体" w:cs="黑体"/>
                <w:sz w:val="24"/>
                <w:szCs w:val="24"/>
                <w:highlight w:val="none"/>
                <w:vertAlign w:val="baseline"/>
                <w:lang w:val="en-US" w:eastAsia="zh-CN"/>
              </w:rPr>
            </w:pPr>
            <w:r>
              <w:rPr>
                <w:rFonts w:hint="eastAsia" w:ascii="黑体" w:hAnsi="黑体" w:eastAsia="黑体" w:cs="黑体"/>
                <w:sz w:val="24"/>
                <w:szCs w:val="24"/>
                <w:highlight w:val="none"/>
                <w:vertAlign w:val="baseline"/>
                <w:lang w:val="en-US" w:eastAsia="zh-CN"/>
              </w:rPr>
              <w:t>建筑垃圾类别</w:t>
            </w:r>
          </w:p>
        </w:tc>
        <w:tc>
          <w:tcPr>
            <w:tcW w:w="1720" w:type="dxa"/>
            <w:tcBorders>
              <w:top w:val="single" w:color="auto" w:sz="4" w:space="0"/>
              <w:left w:val="single" w:color="auto" w:sz="4" w:space="0"/>
              <w:right w:val="single" w:color="auto" w:sz="4" w:space="0"/>
            </w:tcBorders>
            <w:shd w:val="clear" w:color="auto" w:fill="auto"/>
            <w:tcMar>
              <w:top w:w="15" w:type="dxa"/>
              <w:left w:w="15" w:type="dxa"/>
              <w:right w:w="15" w:type="dxa"/>
            </w:tcMar>
            <w:vAlign w:val="center"/>
          </w:tcPr>
          <w:p w14:paraId="6C54E1E8">
            <w:pPr>
              <w:keepNext w:val="0"/>
              <w:keepLines w:val="0"/>
              <w:pageBreakBefore w:val="0"/>
              <w:widowControl w:val="0"/>
              <w:kinsoku/>
              <w:wordWrap/>
              <w:overflowPunct/>
              <w:topLinePunct w:val="0"/>
              <w:autoSpaceDE/>
              <w:autoSpaceDN/>
              <w:bidi w:val="0"/>
              <w:adjustRightInd/>
              <w:snapToGrid/>
              <w:spacing w:beforeAutospacing="0" w:afterAutospacing="0" w:line="280" w:lineRule="exact"/>
              <w:ind w:left="0" w:leftChars="0" w:firstLine="0" w:firstLineChars="0"/>
              <w:jc w:val="center"/>
              <w:textAlignment w:val="auto"/>
              <w:rPr>
                <w:rFonts w:hint="eastAsia" w:ascii="黑体" w:hAnsi="黑体" w:eastAsia="黑体" w:cs="黑体"/>
                <w:sz w:val="24"/>
                <w:szCs w:val="24"/>
                <w:highlight w:val="none"/>
                <w:vertAlign w:val="baseline"/>
                <w:lang w:val="en-US" w:eastAsia="zh-CN"/>
              </w:rPr>
            </w:pPr>
            <w:r>
              <w:rPr>
                <w:rFonts w:hint="eastAsia" w:ascii="黑体" w:hAnsi="黑体" w:eastAsia="黑体" w:cs="黑体"/>
                <w:sz w:val="24"/>
                <w:szCs w:val="24"/>
                <w:highlight w:val="none"/>
                <w:vertAlign w:val="baseline"/>
                <w:lang w:val="en-US" w:eastAsia="zh-CN"/>
              </w:rPr>
              <w:t>产生量</w:t>
            </w:r>
          </w:p>
          <w:p w14:paraId="61BC5CCF">
            <w:pPr>
              <w:keepNext w:val="0"/>
              <w:keepLines w:val="0"/>
              <w:pageBreakBefore w:val="0"/>
              <w:widowControl w:val="0"/>
              <w:kinsoku/>
              <w:wordWrap/>
              <w:overflowPunct/>
              <w:topLinePunct w:val="0"/>
              <w:autoSpaceDE/>
              <w:autoSpaceDN/>
              <w:bidi w:val="0"/>
              <w:adjustRightInd/>
              <w:snapToGrid/>
              <w:spacing w:beforeAutospacing="0" w:afterAutospacing="0" w:line="280" w:lineRule="exact"/>
              <w:ind w:left="0" w:leftChars="0" w:firstLine="0" w:firstLineChars="0"/>
              <w:jc w:val="center"/>
              <w:textAlignment w:val="auto"/>
              <w:rPr>
                <w:rFonts w:hint="eastAsia" w:ascii="黑体" w:hAnsi="黑体" w:eastAsia="黑体" w:cs="黑体"/>
                <w:sz w:val="24"/>
                <w:szCs w:val="24"/>
                <w:highlight w:val="none"/>
                <w:vertAlign w:val="baseline"/>
                <w:lang w:val="en-US" w:eastAsia="zh-CN"/>
              </w:rPr>
            </w:pPr>
            <w:r>
              <w:rPr>
                <w:rFonts w:hint="eastAsia" w:ascii="黑体" w:hAnsi="黑体" w:eastAsia="黑体" w:cs="黑体"/>
                <w:sz w:val="24"/>
                <w:szCs w:val="24"/>
                <w:highlight w:val="none"/>
                <w:vertAlign w:val="baseline"/>
                <w:lang w:val="en-US" w:eastAsia="zh-CN"/>
              </w:rPr>
              <w:t>（万吨）</w:t>
            </w:r>
          </w:p>
        </w:tc>
        <w:tc>
          <w:tcPr>
            <w:tcW w:w="1460" w:type="dxa"/>
            <w:tcBorders>
              <w:top w:val="single" w:color="auto" w:sz="4" w:space="0"/>
              <w:left w:val="single" w:color="auto" w:sz="4" w:space="0"/>
              <w:right w:val="single" w:color="auto" w:sz="4" w:space="0"/>
            </w:tcBorders>
            <w:shd w:val="clear" w:color="auto" w:fill="auto"/>
            <w:tcMar>
              <w:top w:w="15" w:type="dxa"/>
              <w:left w:w="15" w:type="dxa"/>
              <w:right w:w="15" w:type="dxa"/>
            </w:tcMar>
            <w:vAlign w:val="center"/>
          </w:tcPr>
          <w:p w14:paraId="2E5F0DC9">
            <w:pPr>
              <w:keepNext w:val="0"/>
              <w:keepLines w:val="0"/>
              <w:pageBreakBefore w:val="0"/>
              <w:widowControl w:val="0"/>
              <w:kinsoku/>
              <w:wordWrap/>
              <w:overflowPunct/>
              <w:topLinePunct w:val="0"/>
              <w:autoSpaceDE/>
              <w:autoSpaceDN/>
              <w:bidi w:val="0"/>
              <w:adjustRightInd/>
              <w:snapToGrid/>
              <w:spacing w:beforeAutospacing="0" w:afterAutospacing="0" w:line="280" w:lineRule="exact"/>
              <w:ind w:left="0" w:leftChars="0" w:firstLine="0" w:firstLineChars="0"/>
              <w:jc w:val="center"/>
              <w:textAlignment w:val="auto"/>
              <w:rPr>
                <w:rFonts w:hint="eastAsia" w:ascii="黑体" w:hAnsi="黑体" w:eastAsia="黑体" w:cs="黑体"/>
                <w:sz w:val="24"/>
                <w:szCs w:val="24"/>
                <w:highlight w:val="none"/>
                <w:vertAlign w:val="baseline"/>
                <w:lang w:val="en-US" w:eastAsia="zh-CN"/>
              </w:rPr>
            </w:pPr>
            <w:r>
              <w:rPr>
                <w:rFonts w:hint="eastAsia" w:ascii="黑体" w:hAnsi="黑体" w:eastAsia="黑体" w:cs="黑体"/>
                <w:sz w:val="24"/>
                <w:szCs w:val="24"/>
                <w:highlight w:val="none"/>
                <w:vertAlign w:val="baseline"/>
                <w:lang w:val="en-US" w:eastAsia="zh-CN"/>
              </w:rPr>
              <w:t>直接利用量</w:t>
            </w:r>
          </w:p>
          <w:p w14:paraId="6A1E6038">
            <w:pPr>
              <w:keepNext w:val="0"/>
              <w:keepLines w:val="0"/>
              <w:pageBreakBefore w:val="0"/>
              <w:widowControl w:val="0"/>
              <w:kinsoku/>
              <w:wordWrap/>
              <w:overflowPunct/>
              <w:topLinePunct w:val="0"/>
              <w:autoSpaceDE/>
              <w:autoSpaceDN/>
              <w:bidi w:val="0"/>
              <w:adjustRightInd/>
              <w:snapToGrid/>
              <w:spacing w:beforeAutospacing="0" w:afterAutospacing="0" w:line="280" w:lineRule="exact"/>
              <w:ind w:left="0" w:leftChars="0" w:firstLine="0" w:firstLineChars="0"/>
              <w:jc w:val="center"/>
              <w:textAlignment w:val="auto"/>
              <w:rPr>
                <w:rFonts w:hint="eastAsia" w:ascii="黑体" w:hAnsi="黑体" w:eastAsia="黑体" w:cs="黑体"/>
                <w:sz w:val="24"/>
                <w:szCs w:val="24"/>
                <w:highlight w:val="none"/>
                <w:vertAlign w:val="baseline"/>
                <w:lang w:val="en-US" w:eastAsia="zh-CN"/>
              </w:rPr>
            </w:pPr>
            <w:r>
              <w:rPr>
                <w:rFonts w:hint="eastAsia" w:ascii="黑体" w:hAnsi="黑体" w:eastAsia="黑体" w:cs="黑体"/>
                <w:sz w:val="24"/>
                <w:szCs w:val="24"/>
                <w:highlight w:val="none"/>
                <w:vertAlign w:val="baseline"/>
                <w:lang w:val="en-US" w:eastAsia="zh-CN"/>
              </w:rPr>
              <w:t>（万吨）</w:t>
            </w:r>
          </w:p>
        </w:tc>
        <w:tc>
          <w:tcPr>
            <w:tcW w:w="1620" w:type="dxa"/>
            <w:tcBorders>
              <w:top w:val="single" w:color="auto" w:sz="4" w:space="0"/>
              <w:left w:val="single" w:color="auto" w:sz="4" w:space="0"/>
              <w:right w:val="single" w:color="auto" w:sz="4" w:space="0"/>
            </w:tcBorders>
            <w:shd w:val="clear" w:color="auto" w:fill="auto"/>
            <w:tcMar>
              <w:top w:w="15" w:type="dxa"/>
              <w:left w:w="15" w:type="dxa"/>
              <w:right w:w="15" w:type="dxa"/>
            </w:tcMar>
            <w:vAlign w:val="center"/>
          </w:tcPr>
          <w:p w14:paraId="47EEECF6">
            <w:pPr>
              <w:keepNext w:val="0"/>
              <w:keepLines w:val="0"/>
              <w:pageBreakBefore w:val="0"/>
              <w:widowControl w:val="0"/>
              <w:kinsoku/>
              <w:wordWrap/>
              <w:overflowPunct/>
              <w:topLinePunct w:val="0"/>
              <w:autoSpaceDE/>
              <w:autoSpaceDN/>
              <w:bidi w:val="0"/>
              <w:adjustRightInd/>
              <w:snapToGrid/>
              <w:spacing w:beforeAutospacing="0" w:afterAutospacing="0" w:line="280" w:lineRule="exact"/>
              <w:ind w:left="0" w:leftChars="0" w:firstLine="0" w:firstLineChars="0"/>
              <w:jc w:val="center"/>
              <w:textAlignment w:val="auto"/>
              <w:rPr>
                <w:rFonts w:hint="eastAsia" w:ascii="黑体" w:hAnsi="黑体" w:eastAsia="黑体" w:cs="黑体"/>
                <w:sz w:val="24"/>
                <w:szCs w:val="24"/>
                <w:highlight w:val="none"/>
                <w:vertAlign w:val="baseline"/>
                <w:lang w:val="en-US" w:eastAsia="zh-CN"/>
              </w:rPr>
            </w:pPr>
            <w:r>
              <w:rPr>
                <w:rFonts w:hint="eastAsia" w:ascii="黑体" w:hAnsi="黑体" w:eastAsia="黑体" w:cs="黑体"/>
                <w:sz w:val="24"/>
                <w:szCs w:val="24"/>
                <w:highlight w:val="none"/>
                <w:vertAlign w:val="baseline"/>
                <w:lang w:val="en-US" w:eastAsia="zh-CN"/>
              </w:rPr>
              <w:t>资源化利用量</w:t>
            </w:r>
          </w:p>
          <w:p w14:paraId="1F373C2C">
            <w:pPr>
              <w:keepNext w:val="0"/>
              <w:keepLines w:val="0"/>
              <w:pageBreakBefore w:val="0"/>
              <w:widowControl w:val="0"/>
              <w:kinsoku/>
              <w:wordWrap/>
              <w:overflowPunct/>
              <w:topLinePunct w:val="0"/>
              <w:autoSpaceDE/>
              <w:autoSpaceDN/>
              <w:bidi w:val="0"/>
              <w:adjustRightInd/>
              <w:snapToGrid/>
              <w:spacing w:beforeAutospacing="0" w:afterAutospacing="0" w:line="280" w:lineRule="exact"/>
              <w:ind w:left="0" w:leftChars="0" w:firstLine="0" w:firstLineChars="0"/>
              <w:jc w:val="center"/>
              <w:textAlignment w:val="auto"/>
              <w:rPr>
                <w:rFonts w:hint="eastAsia" w:ascii="黑体" w:hAnsi="黑体" w:eastAsia="黑体" w:cs="黑体"/>
                <w:sz w:val="24"/>
                <w:szCs w:val="24"/>
                <w:highlight w:val="none"/>
                <w:vertAlign w:val="baseline"/>
                <w:lang w:val="en-US" w:eastAsia="zh-CN"/>
              </w:rPr>
            </w:pPr>
            <w:r>
              <w:rPr>
                <w:rFonts w:hint="eastAsia" w:ascii="黑体" w:hAnsi="黑体" w:eastAsia="黑体" w:cs="黑体"/>
                <w:sz w:val="24"/>
                <w:szCs w:val="24"/>
                <w:highlight w:val="none"/>
                <w:vertAlign w:val="baseline"/>
                <w:lang w:val="en-US" w:eastAsia="zh-CN"/>
              </w:rPr>
              <w:t>（万吨）</w:t>
            </w:r>
          </w:p>
        </w:tc>
        <w:tc>
          <w:tcPr>
            <w:tcW w:w="123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E7D4CE4">
            <w:pPr>
              <w:keepNext w:val="0"/>
              <w:keepLines w:val="0"/>
              <w:pageBreakBefore w:val="0"/>
              <w:widowControl w:val="0"/>
              <w:kinsoku/>
              <w:wordWrap/>
              <w:overflowPunct/>
              <w:topLinePunct w:val="0"/>
              <w:autoSpaceDE/>
              <w:autoSpaceDN/>
              <w:bidi w:val="0"/>
              <w:adjustRightInd/>
              <w:snapToGrid/>
              <w:spacing w:beforeAutospacing="0" w:afterAutospacing="0" w:line="280" w:lineRule="exact"/>
              <w:ind w:left="0" w:leftChars="0" w:firstLine="0" w:firstLineChars="0"/>
              <w:jc w:val="center"/>
              <w:textAlignment w:val="auto"/>
              <w:rPr>
                <w:rFonts w:hint="eastAsia" w:ascii="黑体" w:hAnsi="黑体" w:eastAsia="黑体" w:cs="黑体"/>
                <w:sz w:val="24"/>
                <w:szCs w:val="24"/>
                <w:highlight w:val="none"/>
                <w:vertAlign w:val="baseline"/>
                <w:lang w:val="en-US" w:eastAsia="zh-CN"/>
              </w:rPr>
            </w:pPr>
            <w:r>
              <w:rPr>
                <w:rFonts w:hint="eastAsia" w:ascii="黑体" w:hAnsi="黑体" w:eastAsia="黑体" w:cs="黑体"/>
                <w:sz w:val="24"/>
                <w:szCs w:val="24"/>
                <w:highlight w:val="none"/>
                <w:vertAlign w:val="baseline"/>
                <w:lang w:val="en-US" w:eastAsia="zh-CN"/>
              </w:rPr>
              <w:t>处置量</w:t>
            </w:r>
          </w:p>
          <w:p w14:paraId="75288A8E">
            <w:pPr>
              <w:keepNext w:val="0"/>
              <w:keepLines w:val="0"/>
              <w:pageBreakBefore w:val="0"/>
              <w:widowControl w:val="0"/>
              <w:kinsoku/>
              <w:wordWrap/>
              <w:overflowPunct/>
              <w:topLinePunct w:val="0"/>
              <w:autoSpaceDE/>
              <w:autoSpaceDN/>
              <w:bidi w:val="0"/>
              <w:adjustRightInd/>
              <w:snapToGrid/>
              <w:spacing w:beforeAutospacing="0" w:afterAutospacing="0" w:line="280" w:lineRule="exact"/>
              <w:ind w:left="0" w:leftChars="0" w:firstLine="0" w:firstLineChars="0"/>
              <w:jc w:val="center"/>
              <w:textAlignment w:val="auto"/>
              <w:rPr>
                <w:rFonts w:hint="eastAsia" w:ascii="黑体" w:hAnsi="黑体" w:eastAsia="黑体" w:cs="黑体"/>
                <w:sz w:val="24"/>
                <w:szCs w:val="24"/>
                <w:highlight w:val="none"/>
                <w:vertAlign w:val="baseline"/>
                <w:lang w:val="en-US" w:eastAsia="zh-CN"/>
              </w:rPr>
            </w:pPr>
            <w:r>
              <w:rPr>
                <w:rFonts w:hint="eastAsia" w:ascii="黑体" w:hAnsi="黑体" w:eastAsia="黑体" w:cs="黑体"/>
                <w:sz w:val="24"/>
                <w:szCs w:val="24"/>
                <w:highlight w:val="none"/>
                <w:vertAlign w:val="baseline"/>
                <w:lang w:val="en-US" w:eastAsia="zh-CN"/>
              </w:rPr>
              <w:t>（万吨）</w:t>
            </w:r>
          </w:p>
        </w:tc>
      </w:tr>
      <w:tr w14:paraId="54E384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2" w:hRule="atLeast"/>
        </w:trPr>
        <w:tc>
          <w:tcPr>
            <w:tcW w:w="2206" w:type="dxa"/>
            <w:shd w:val="clear" w:color="auto" w:fill="auto"/>
            <w:tcMar>
              <w:top w:w="15" w:type="dxa"/>
              <w:left w:w="15" w:type="dxa"/>
              <w:right w:w="15" w:type="dxa"/>
            </w:tcMar>
            <w:vAlign w:val="center"/>
          </w:tcPr>
          <w:p w14:paraId="19C4B9E8">
            <w:pPr>
              <w:keepNext w:val="0"/>
              <w:keepLines w:val="0"/>
              <w:pageBreakBefore w:val="0"/>
              <w:widowControl w:val="0"/>
              <w:kinsoku/>
              <w:wordWrap/>
              <w:overflowPunct/>
              <w:topLinePunct w:val="0"/>
              <w:autoSpaceDE/>
              <w:autoSpaceDN/>
              <w:bidi w:val="0"/>
              <w:adjustRightInd/>
              <w:snapToGrid/>
              <w:spacing w:beforeAutospacing="0" w:afterAutospacing="0" w:line="28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工程渣土</w:t>
            </w:r>
          </w:p>
        </w:tc>
        <w:tc>
          <w:tcPr>
            <w:tcW w:w="1720" w:type="dxa"/>
            <w:tcBorders>
              <w:top w:val="single" w:color="auto" w:sz="4" w:space="0"/>
            </w:tcBorders>
            <w:shd w:val="clear" w:color="auto" w:fill="auto"/>
            <w:tcMar>
              <w:top w:w="15" w:type="dxa"/>
              <w:left w:w="15" w:type="dxa"/>
              <w:right w:w="15" w:type="dxa"/>
            </w:tcMar>
            <w:vAlign w:val="center"/>
          </w:tcPr>
          <w:p w14:paraId="37BBCFA4">
            <w:pPr>
              <w:keepNext w:val="0"/>
              <w:keepLines w:val="0"/>
              <w:pageBreakBefore w:val="0"/>
              <w:widowControl w:val="0"/>
              <w:kinsoku/>
              <w:wordWrap/>
              <w:overflowPunct/>
              <w:topLinePunct w:val="0"/>
              <w:autoSpaceDE/>
              <w:autoSpaceDN/>
              <w:bidi w:val="0"/>
              <w:adjustRightInd/>
              <w:snapToGrid/>
              <w:spacing w:beforeAutospacing="0" w:afterAutospacing="0" w:line="28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 xml:space="preserve">152.2 </w:t>
            </w:r>
          </w:p>
        </w:tc>
        <w:tc>
          <w:tcPr>
            <w:tcW w:w="1460" w:type="dxa"/>
            <w:tcBorders>
              <w:top w:val="single" w:color="auto" w:sz="4" w:space="0"/>
            </w:tcBorders>
            <w:shd w:val="clear" w:color="auto" w:fill="auto"/>
            <w:tcMar>
              <w:top w:w="15" w:type="dxa"/>
              <w:left w:w="15" w:type="dxa"/>
              <w:right w:w="15" w:type="dxa"/>
            </w:tcMar>
            <w:vAlign w:val="center"/>
          </w:tcPr>
          <w:p w14:paraId="63E56ECE">
            <w:pPr>
              <w:keepNext w:val="0"/>
              <w:keepLines w:val="0"/>
              <w:pageBreakBefore w:val="0"/>
              <w:widowControl w:val="0"/>
              <w:kinsoku/>
              <w:wordWrap/>
              <w:overflowPunct/>
              <w:topLinePunct w:val="0"/>
              <w:autoSpaceDE/>
              <w:autoSpaceDN/>
              <w:bidi w:val="0"/>
              <w:adjustRightInd/>
              <w:snapToGrid/>
              <w:spacing w:beforeAutospacing="0" w:afterAutospacing="0" w:line="28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 xml:space="preserve">91.3 </w:t>
            </w:r>
          </w:p>
        </w:tc>
        <w:tc>
          <w:tcPr>
            <w:tcW w:w="1620" w:type="dxa"/>
            <w:tcBorders>
              <w:top w:val="single" w:color="auto" w:sz="4" w:space="0"/>
            </w:tcBorders>
            <w:shd w:val="clear" w:color="auto" w:fill="auto"/>
            <w:tcMar>
              <w:top w:w="15" w:type="dxa"/>
              <w:left w:w="15" w:type="dxa"/>
              <w:right w:w="15" w:type="dxa"/>
            </w:tcMar>
            <w:vAlign w:val="center"/>
          </w:tcPr>
          <w:p w14:paraId="47DBDF44">
            <w:pPr>
              <w:keepNext w:val="0"/>
              <w:keepLines w:val="0"/>
              <w:pageBreakBefore w:val="0"/>
              <w:widowControl w:val="0"/>
              <w:kinsoku/>
              <w:wordWrap/>
              <w:overflowPunct/>
              <w:topLinePunct w:val="0"/>
              <w:autoSpaceDE/>
              <w:autoSpaceDN/>
              <w:bidi w:val="0"/>
              <w:adjustRightInd/>
              <w:snapToGrid/>
              <w:spacing w:beforeAutospacing="0" w:afterAutospacing="0" w:line="28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 xml:space="preserve">38.0 </w:t>
            </w:r>
          </w:p>
        </w:tc>
        <w:tc>
          <w:tcPr>
            <w:tcW w:w="1230" w:type="dxa"/>
            <w:tcBorders>
              <w:top w:val="single" w:color="auto" w:sz="4" w:space="0"/>
            </w:tcBorders>
            <w:shd w:val="clear" w:color="auto" w:fill="auto"/>
            <w:tcMar>
              <w:top w:w="15" w:type="dxa"/>
              <w:left w:w="15" w:type="dxa"/>
              <w:right w:w="15" w:type="dxa"/>
            </w:tcMar>
            <w:vAlign w:val="center"/>
          </w:tcPr>
          <w:p w14:paraId="2952B708">
            <w:pPr>
              <w:keepNext w:val="0"/>
              <w:keepLines w:val="0"/>
              <w:pageBreakBefore w:val="0"/>
              <w:widowControl w:val="0"/>
              <w:kinsoku/>
              <w:wordWrap/>
              <w:overflowPunct/>
              <w:topLinePunct w:val="0"/>
              <w:autoSpaceDE/>
              <w:autoSpaceDN/>
              <w:bidi w:val="0"/>
              <w:adjustRightInd/>
              <w:snapToGrid/>
              <w:spacing w:beforeAutospacing="0" w:afterAutospacing="0" w:line="28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 xml:space="preserve">22.8 </w:t>
            </w:r>
          </w:p>
        </w:tc>
      </w:tr>
      <w:tr w14:paraId="1FA8D1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2" w:hRule="atLeast"/>
        </w:trPr>
        <w:tc>
          <w:tcPr>
            <w:tcW w:w="2206" w:type="dxa"/>
            <w:shd w:val="clear" w:color="auto" w:fill="auto"/>
            <w:tcMar>
              <w:top w:w="15" w:type="dxa"/>
              <w:left w:w="15" w:type="dxa"/>
              <w:right w:w="15" w:type="dxa"/>
            </w:tcMar>
            <w:vAlign w:val="center"/>
          </w:tcPr>
          <w:p w14:paraId="7DCB494A">
            <w:pPr>
              <w:keepNext w:val="0"/>
              <w:keepLines w:val="0"/>
              <w:pageBreakBefore w:val="0"/>
              <w:widowControl w:val="0"/>
              <w:kinsoku/>
              <w:wordWrap/>
              <w:overflowPunct/>
              <w:topLinePunct w:val="0"/>
              <w:autoSpaceDE/>
              <w:autoSpaceDN/>
              <w:bidi w:val="0"/>
              <w:adjustRightInd/>
              <w:snapToGrid/>
              <w:spacing w:beforeAutospacing="0" w:afterAutospacing="0" w:line="28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工程泥浆</w:t>
            </w:r>
          </w:p>
        </w:tc>
        <w:tc>
          <w:tcPr>
            <w:tcW w:w="1720" w:type="dxa"/>
            <w:shd w:val="clear" w:color="auto" w:fill="auto"/>
            <w:tcMar>
              <w:top w:w="15" w:type="dxa"/>
              <w:left w:w="15" w:type="dxa"/>
              <w:right w:w="15" w:type="dxa"/>
            </w:tcMar>
            <w:vAlign w:val="center"/>
          </w:tcPr>
          <w:p w14:paraId="459EE911">
            <w:pPr>
              <w:keepNext w:val="0"/>
              <w:keepLines w:val="0"/>
              <w:pageBreakBefore w:val="0"/>
              <w:widowControl w:val="0"/>
              <w:kinsoku/>
              <w:wordWrap/>
              <w:overflowPunct/>
              <w:topLinePunct w:val="0"/>
              <w:autoSpaceDE/>
              <w:autoSpaceDN/>
              <w:bidi w:val="0"/>
              <w:adjustRightInd/>
              <w:snapToGrid/>
              <w:spacing w:beforeAutospacing="0" w:afterAutospacing="0" w:line="28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 xml:space="preserve">3.5 </w:t>
            </w:r>
          </w:p>
        </w:tc>
        <w:tc>
          <w:tcPr>
            <w:tcW w:w="1460" w:type="dxa"/>
            <w:shd w:val="clear" w:color="auto" w:fill="auto"/>
            <w:tcMar>
              <w:top w:w="15" w:type="dxa"/>
              <w:left w:w="15" w:type="dxa"/>
              <w:right w:w="15" w:type="dxa"/>
            </w:tcMar>
            <w:vAlign w:val="center"/>
          </w:tcPr>
          <w:p w14:paraId="2EB48719">
            <w:pPr>
              <w:keepNext w:val="0"/>
              <w:keepLines w:val="0"/>
              <w:pageBreakBefore w:val="0"/>
              <w:widowControl w:val="0"/>
              <w:kinsoku/>
              <w:wordWrap/>
              <w:overflowPunct/>
              <w:topLinePunct w:val="0"/>
              <w:autoSpaceDE/>
              <w:autoSpaceDN/>
              <w:bidi w:val="0"/>
              <w:adjustRightInd/>
              <w:snapToGrid/>
              <w:spacing w:beforeAutospacing="0" w:afterAutospacing="0" w:line="28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 xml:space="preserve">0.0 </w:t>
            </w:r>
          </w:p>
        </w:tc>
        <w:tc>
          <w:tcPr>
            <w:tcW w:w="1620" w:type="dxa"/>
            <w:shd w:val="clear" w:color="auto" w:fill="auto"/>
            <w:tcMar>
              <w:top w:w="15" w:type="dxa"/>
              <w:left w:w="15" w:type="dxa"/>
              <w:right w:w="15" w:type="dxa"/>
            </w:tcMar>
            <w:vAlign w:val="center"/>
          </w:tcPr>
          <w:p w14:paraId="1E8A3410">
            <w:pPr>
              <w:keepNext w:val="0"/>
              <w:keepLines w:val="0"/>
              <w:pageBreakBefore w:val="0"/>
              <w:widowControl w:val="0"/>
              <w:kinsoku/>
              <w:wordWrap/>
              <w:overflowPunct/>
              <w:topLinePunct w:val="0"/>
              <w:autoSpaceDE/>
              <w:autoSpaceDN/>
              <w:bidi w:val="0"/>
              <w:adjustRightInd/>
              <w:snapToGrid/>
              <w:spacing w:beforeAutospacing="0" w:afterAutospacing="0" w:line="28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 xml:space="preserve">0.4 </w:t>
            </w:r>
          </w:p>
        </w:tc>
        <w:tc>
          <w:tcPr>
            <w:tcW w:w="1230" w:type="dxa"/>
            <w:shd w:val="clear" w:color="auto" w:fill="auto"/>
            <w:tcMar>
              <w:top w:w="15" w:type="dxa"/>
              <w:left w:w="15" w:type="dxa"/>
              <w:right w:w="15" w:type="dxa"/>
            </w:tcMar>
            <w:vAlign w:val="center"/>
          </w:tcPr>
          <w:p w14:paraId="026A2FBE">
            <w:pPr>
              <w:keepNext w:val="0"/>
              <w:keepLines w:val="0"/>
              <w:pageBreakBefore w:val="0"/>
              <w:widowControl w:val="0"/>
              <w:kinsoku/>
              <w:wordWrap/>
              <w:overflowPunct/>
              <w:topLinePunct w:val="0"/>
              <w:autoSpaceDE/>
              <w:autoSpaceDN/>
              <w:bidi w:val="0"/>
              <w:adjustRightInd/>
              <w:snapToGrid/>
              <w:spacing w:beforeAutospacing="0" w:afterAutospacing="0" w:line="28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 xml:space="preserve">3.2 </w:t>
            </w:r>
          </w:p>
        </w:tc>
      </w:tr>
      <w:tr w14:paraId="1594B5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2" w:hRule="atLeast"/>
        </w:trPr>
        <w:tc>
          <w:tcPr>
            <w:tcW w:w="2206" w:type="dxa"/>
            <w:shd w:val="clear" w:color="auto" w:fill="auto"/>
            <w:tcMar>
              <w:top w:w="15" w:type="dxa"/>
              <w:left w:w="15" w:type="dxa"/>
              <w:right w:w="15" w:type="dxa"/>
            </w:tcMar>
            <w:vAlign w:val="center"/>
          </w:tcPr>
          <w:p w14:paraId="26385850">
            <w:pPr>
              <w:keepNext w:val="0"/>
              <w:keepLines w:val="0"/>
              <w:pageBreakBefore w:val="0"/>
              <w:widowControl w:val="0"/>
              <w:kinsoku/>
              <w:wordWrap/>
              <w:overflowPunct/>
              <w:topLinePunct w:val="0"/>
              <w:autoSpaceDE/>
              <w:autoSpaceDN/>
              <w:bidi w:val="0"/>
              <w:adjustRightInd/>
              <w:snapToGrid/>
              <w:spacing w:beforeAutospacing="0" w:afterAutospacing="0" w:line="28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工程垃圾</w:t>
            </w:r>
          </w:p>
        </w:tc>
        <w:tc>
          <w:tcPr>
            <w:tcW w:w="1720" w:type="dxa"/>
            <w:shd w:val="clear" w:color="auto" w:fill="auto"/>
            <w:tcMar>
              <w:top w:w="15" w:type="dxa"/>
              <w:left w:w="15" w:type="dxa"/>
              <w:right w:w="15" w:type="dxa"/>
            </w:tcMar>
            <w:vAlign w:val="center"/>
          </w:tcPr>
          <w:p w14:paraId="61709F48">
            <w:pPr>
              <w:keepNext w:val="0"/>
              <w:keepLines w:val="0"/>
              <w:pageBreakBefore w:val="0"/>
              <w:widowControl w:val="0"/>
              <w:kinsoku/>
              <w:wordWrap/>
              <w:overflowPunct/>
              <w:topLinePunct w:val="0"/>
              <w:autoSpaceDE/>
              <w:autoSpaceDN/>
              <w:bidi w:val="0"/>
              <w:adjustRightInd/>
              <w:snapToGrid/>
              <w:spacing w:beforeAutospacing="0" w:afterAutospacing="0" w:line="28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 xml:space="preserve">3.5 </w:t>
            </w:r>
          </w:p>
        </w:tc>
        <w:tc>
          <w:tcPr>
            <w:tcW w:w="1460" w:type="dxa"/>
            <w:shd w:val="clear" w:color="auto" w:fill="auto"/>
            <w:tcMar>
              <w:top w:w="15" w:type="dxa"/>
              <w:left w:w="15" w:type="dxa"/>
              <w:right w:w="15" w:type="dxa"/>
            </w:tcMar>
            <w:vAlign w:val="center"/>
          </w:tcPr>
          <w:p w14:paraId="629D37C6">
            <w:pPr>
              <w:keepNext w:val="0"/>
              <w:keepLines w:val="0"/>
              <w:pageBreakBefore w:val="0"/>
              <w:widowControl w:val="0"/>
              <w:kinsoku/>
              <w:wordWrap/>
              <w:overflowPunct/>
              <w:topLinePunct w:val="0"/>
              <w:autoSpaceDE/>
              <w:autoSpaceDN/>
              <w:bidi w:val="0"/>
              <w:adjustRightInd/>
              <w:snapToGrid/>
              <w:spacing w:beforeAutospacing="0" w:afterAutospacing="0" w:line="28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0.4</w:t>
            </w:r>
          </w:p>
        </w:tc>
        <w:tc>
          <w:tcPr>
            <w:tcW w:w="1620" w:type="dxa"/>
            <w:shd w:val="clear" w:color="auto" w:fill="auto"/>
            <w:tcMar>
              <w:top w:w="15" w:type="dxa"/>
              <w:left w:w="15" w:type="dxa"/>
              <w:right w:w="15" w:type="dxa"/>
            </w:tcMar>
            <w:vAlign w:val="center"/>
          </w:tcPr>
          <w:p w14:paraId="281EDAA1">
            <w:pPr>
              <w:keepNext w:val="0"/>
              <w:keepLines w:val="0"/>
              <w:pageBreakBefore w:val="0"/>
              <w:widowControl w:val="0"/>
              <w:kinsoku/>
              <w:wordWrap/>
              <w:overflowPunct/>
              <w:topLinePunct w:val="0"/>
              <w:autoSpaceDE/>
              <w:autoSpaceDN/>
              <w:bidi w:val="0"/>
              <w:adjustRightInd/>
              <w:snapToGrid/>
              <w:spacing w:beforeAutospacing="0" w:afterAutospacing="0" w:line="28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 xml:space="preserve">2.8 </w:t>
            </w:r>
          </w:p>
        </w:tc>
        <w:tc>
          <w:tcPr>
            <w:tcW w:w="1230" w:type="dxa"/>
            <w:shd w:val="clear" w:color="auto" w:fill="auto"/>
            <w:tcMar>
              <w:top w:w="15" w:type="dxa"/>
              <w:left w:w="15" w:type="dxa"/>
              <w:right w:w="15" w:type="dxa"/>
            </w:tcMar>
            <w:vAlign w:val="center"/>
          </w:tcPr>
          <w:p w14:paraId="44234D97">
            <w:pPr>
              <w:keepNext w:val="0"/>
              <w:keepLines w:val="0"/>
              <w:pageBreakBefore w:val="0"/>
              <w:widowControl w:val="0"/>
              <w:kinsoku/>
              <w:wordWrap/>
              <w:overflowPunct/>
              <w:topLinePunct w:val="0"/>
              <w:autoSpaceDE/>
              <w:autoSpaceDN/>
              <w:bidi w:val="0"/>
              <w:adjustRightInd/>
              <w:snapToGrid/>
              <w:spacing w:beforeAutospacing="0" w:afterAutospacing="0" w:line="28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 xml:space="preserve">0.4 </w:t>
            </w:r>
          </w:p>
        </w:tc>
      </w:tr>
      <w:tr w14:paraId="6629B1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2" w:hRule="atLeast"/>
        </w:trPr>
        <w:tc>
          <w:tcPr>
            <w:tcW w:w="2206" w:type="dxa"/>
            <w:shd w:val="clear" w:color="auto" w:fill="auto"/>
            <w:tcMar>
              <w:top w:w="15" w:type="dxa"/>
              <w:left w:w="15" w:type="dxa"/>
              <w:right w:w="15" w:type="dxa"/>
            </w:tcMar>
            <w:vAlign w:val="center"/>
          </w:tcPr>
          <w:p w14:paraId="04822056">
            <w:pPr>
              <w:keepNext w:val="0"/>
              <w:keepLines w:val="0"/>
              <w:pageBreakBefore w:val="0"/>
              <w:widowControl w:val="0"/>
              <w:kinsoku/>
              <w:wordWrap/>
              <w:overflowPunct/>
              <w:topLinePunct w:val="0"/>
              <w:autoSpaceDE/>
              <w:autoSpaceDN/>
              <w:bidi w:val="0"/>
              <w:adjustRightInd/>
              <w:snapToGrid/>
              <w:spacing w:beforeAutospacing="0" w:afterAutospacing="0" w:line="28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拆除垃圾</w:t>
            </w:r>
          </w:p>
        </w:tc>
        <w:tc>
          <w:tcPr>
            <w:tcW w:w="1720" w:type="dxa"/>
            <w:shd w:val="clear" w:color="auto" w:fill="auto"/>
            <w:tcMar>
              <w:top w:w="15" w:type="dxa"/>
              <w:left w:w="15" w:type="dxa"/>
              <w:right w:w="15" w:type="dxa"/>
            </w:tcMar>
            <w:vAlign w:val="center"/>
          </w:tcPr>
          <w:p w14:paraId="111EE59B">
            <w:pPr>
              <w:keepNext w:val="0"/>
              <w:keepLines w:val="0"/>
              <w:pageBreakBefore w:val="0"/>
              <w:widowControl w:val="0"/>
              <w:kinsoku/>
              <w:wordWrap/>
              <w:overflowPunct/>
              <w:topLinePunct w:val="0"/>
              <w:autoSpaceDE/>
              <w:autoSpaceDN/>
              <w:bidi w:val="0"/>
              <w:adjustRightInd/>
              <w:snapToGrid/>
              <w:spacing w:beforeAutospacing="0" w:afterAutospacing="0" w:line="28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 xml:space="preserve">14.0 </w:t>
            </w:r>
          </w:p>
        </w:tc>
        <w:tc>
          <w:tcPr>
            <w:tcW w:w="1460" w:type="dxa"/>
            <w:shd w:val="clear" w:color="auto" w:fill="auto"/>
            <w:tcMar>
              <w:top w:w="15" w:type="dxa"/>
              <w:left w:w="15" w:type="dxa"/>
              <w:right w:w="15" w:type="dxa"/>
            </w:tcMar>
            <w:vAlign w:val="center"/>
          </w:tcPr>
          <w:p w14:paraId="5DFBFD5C">
            <w:pPr>
              <w:keepNext w:val="0"/>
              <w:keepLines w:val="0"/>
              <w:pageBreakBefore w:val="0"/>
              <w:widowControl w:val="0"/>
              <w:kinsoku/>
              <w:wordWrap/>
              <w:overflowPunct/>
              <w:topLinePunct w:val="0"/>
              <w:autoSpaceDE/>
              <w:autoSpaceDN/>
              <w:bidi w:val="0"/>
              <w:adjustRightInd/>
              <w:snapToGrid/>
              <w:spacing w:beforeAutospacing="0" w:afterAutospacing="0" w:line="28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 xml:space="preserve">1.4 </w:t>
            </w:r>
          </w:p>
        </w:tc>
        <w:tc>
          <w:tcPr>
            <w:tcW w:w="1620" w:type="dxa"/>
            <w:shd w:val="clear" w:color="auto" w:fill="auto"/>
            <w:tcMar>
              <w:top w:w="15" w:type="dxa"/>
              <w:left w:w="15" w:type="dxa"/>
              <w:right w:w="15" w:type="dxa"/>
            </w:tcMar>
            <w:vAlign w:val="center"/>
          </w:tcPr>
          <w:p w14:paraId="58496097">
            <w:pPr>
              <w:keepNext w:val="0"/>
              <w:keepLines w:val="0"/>
              <w:pageBreakBefore w:val="0"/>
              <w:widowControl w:val="0"/>
              <w:kinsoku/>
              <w:wordWrap/>
              <w:overflowPunct/>
              <w:topLinePunct w:val="0"/>
              <w:autoSpaceDE/>
              <w:autoSpaceDN/>
              <w:bidi w:val="0"/>
              <w:adjustRightInd/>
              <w:snapToGrid/>
              <w:spacing w:beforeAutospacing="0" w:afterAutospacing="0" w:line="28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 xml:space="preserve">11.2 </w:t>
            </w:r>
          </w:p>
        </w:tc>
        <w:tc>
          <w:tcPr>
            <w:tcW w:w="1230" w:type="dxa"/>
            <w:shd w:val="clear" w:color="auto" w:fill="auto"/>
            <w:tcMar>
              <w:top w:w="15" w:type="dxa"/>
              <w:left w:w="15" w:type="dxa"/>
              <w:right w:w="15" w:type="dxa"/>
            </w:tcMar>
            <w:vAlign w:val="center"/>
          </w:tcPr>
          <w:p w14:paraId="42556289">
            <w:pPr>
              <w:keepNext w:val="0"/>
              <w:keepLines w:val="0"/>
              <w:pageBreakBefore w:val="0"/>
              <w:widowControl w:val="0"/>
              <w:kinsoku/>
              <w:wordWrap/>
              <w:overflowPunct/>
              <w:topLinePunct w:val="0"/>
              <w:autoSpaceDE/>
              <w:autoSpaceDN/>
              <w:bidi w:val="0"/>
              <w:adjustRightInd/>
              <w:snapToGrid/>
              <w:spacing w:beforeAutospacing="0" w:afterAutospacing="0" w:line="28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 xml:space="preserve">1.4 </w:t>
            </w:r>
          </w:p>
        </w:tc>
      </w:tr>
      <w:tr w14:paraId="0FA29A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2" w:hRule="atLeast"/>
        </w:trPr>
        <w:tc>
          <w:tcPr>
            <w:tcW w:w="2206" w:type="dxa"/>
            <w:shd w:val="clear" w:color="auto" w:fill="auto"/>
            <w:tcMar>
              <w:top w:w="15" w:type="dxa"/>
              <w:left w:w="15" w:type="dxa"/>
              <w:right w:w="15" w:type="dxa"/>
            </w:tcMar>
            <w:vAlign w:val="center"/>
          </w:tcPr>
          <w:p w14:paraId="625D4009">
            <w:pPr>
              <w:keepNext w:val="0"/>
              <w:keepLines w:val="0"/>
              <w:pageBreakBefore w:val="0"/>
              <w:widowControl w:val="0"/>
              <w:kinsoku/>
              <w:wordWrap/>
              <w:overflowPunct/>
              <w:topLinePunct w:val="0"/>
              <w:autoSpaceDE/>
              <w:autoSpaceDN/>
              <w:bidi w:val="0"/>
              <w:adjustRightInd/>
              <w:snapToGrid/>
              <w:spacing w:beforeAutospacing="0" w:afterAutospacing="0" w:line="28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装修垃圾</w:t>
            </w:r>
          </w:p>
        </w:tc>
        <w:tc>
          <w:tcPr>
            <w:tcW w:w="1720" w:type="dxa"/>
            <w:shd w:val="clear" w:color="auto" w:fill="auto"/>
            <w:tcMar>
              <w:top w:w="15" w:type="dxa"/>
              <w:left w:w="15" w:type="dxa"/>
              <w:right w:w="15" w:type="dxa"/>
            </w:tcMar>
            <w:vAlign w:val="center"/>
          </w:tcPr>
          <w:p w14:paraId="13ABC9E7">
            <w:pPr>
              <w:keepNext w:val="0"/>
              <w:keepLines w:val="0"/>
              <w:pageBreakBefore w:val="0"/>
              <w:widowControl w:val="0"/>
              <w:kinsoku/>
              <w:wordWrap/>
              <w:overflowPunct/>
              <w:topLinePunct w:val="0"/>
              <w:autoSpaceDE/>
              <w:autoSpaceDN/>
              <w:bidi w:val="0"/>
              <w:adjustRightInd/>
              <w:snapToGrid/>
              <w:spacing w:beforeAutospacing="0" w:afterAutospacing="0" w:line="28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 xml:space="preserve">20.0 </w:t>
            </w:r>
          </w:p>
        </w:tc>
        <w:tc>
          <w:tcPr>
            <w:tcW w:w="1460" w:type="dxa"/>
            <w:shd w:val="clear" w:color="auto" w:fill="auto"/>
            <w:tcMar>
              <w:top w:w="15" w:type="dxa"/>
              <w:left w:w="15" w:type="dxa"/>
              <w:right w:w="15" w:type="dxa"/>
            </w:tcMar>
            <w:vAlign w:val="center"/>
          </w:tcPr>
          <w:p w14:paraId="622DA416">
            <w:pPr>
              <w:keepNext w:val="0"/>
              <w:keepLines w:val="0"/>
              <w:pageBreakBefore w:val="0"/>
              <w:widowControl w:val="0"/>
              <w:kinsoku/>
              <w:wordWrap/>
              <w:overflowPunct/>
              <w:topLinePunct w:val="0"/>
              <w:autoSpaceDE/>
              <w:autoSpaceDN/>
              <w:bidi w:val="0"/>
              <w:adjustRightInd/>
              <w:snapToGrid/>
              <w:spacing w:beforeAutospacing="0" w:afterAutospacing="0" w:line="28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 xml:space="preserve">2.0 </w:t>
            </w:r>
          </w:p>
        </w:tc>
        <w:tc>
          <w:tcPr>
            <w:tcW w:w="1620" w:type="dxa"/>
            <w:shd w:val="clear" w:color="auto" w:fill="auto"/>
            <w:tcMar>
              <w:top w:w="15" w:type="dxa"/>
              <w:left w:w="15" w:type="dxa"/>
              <w:right w:w="15" w:type="dxa"/>
            </w:tcMar>
            <w:vAlign w:val="center"/>
          </w:tcPr>
          <w:p w14:paraId="491159A4">
            <w:pPr>
              <w:keepNext w:val="0"/>
              <w:keepLines w:val="0"/>
              <w:pageBreakBefore w:val="0"/>
              <w:widowControl w:val="0"/>
              <w:kinsoku/>
              <w:wordWrap/>
              <w:overflowPunct/>
              <w:topLinePunct w:val="0"/>
              <w:autoSpaceDE/>
              <w:autoSpaceDN/>
              <w:bidi w:val="0"/>
              <w:adjustRightInd/>
              <w:snapToGrid/>
              <w:spacing w:beforeAutospacing="0" w:afterAutospacing="0" w:line="28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 xml:space="preserve">13.0 </w:t>
            </w:r>
          </w:p>
        </w:tc>
        <w:tc>
          <w:tcPr>
            <w:tcW w:w="1230" w:type="dxa"/>
            <w:shd w:val="clear" w:color="auto" w:fill="auto"/>
            <w:tcMar>
              <w:top w:w="15" w:type="dxa"/>
              <w:left w:w="15" w:type="dxa"/>
              <w:right w:w="15" w:type="dxa"/>
            </w:tcMar>
            <w:vAlign w:val="center"/>
          </w:tcPr>
          <w:p w14:paraId="60035444">
            <w:pPr>
              <w:keepNext w:val="0"/>
              <w:keepLines w:val="0"/>
              <w:pageBreakBefore w:val="0"/>
              <w:widowControl w:val="0"/>
              <w:kinsoku/>
              <w:wordWrap/>
              <w:overflowPunct/>
              <w:topLinePunct w:val="0"/>
              <w:autoSpaceDE/>
              <w:autoSpaceDN/>
              <w:bidi w:val="0"/>
              <w:adjustRightInd/>
              <w:snapToGrid/>
              <w:spacing w:beforeAutospacing="0" w:afterAutospacing="0" w:line="28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 xml:space="preserve">5.0 </w:t>
            </w:r>
          </w:p>
        </w:tc>
      </w:tr>
      <w:tr w14:paraId="7437EB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2" w:hRule="atLeast"/>
        </w:trPr>
        <w:tc>
          <w:tcPr>
            <w:tcW w:w="2206" w:type="dxa"/>
            <w:shd w:val="clear" w:color="auto" w:fill="auto"/>
            <w:tcMar>
              <w:top w:w="15" w:type="dxa"/>
              <w:left w:w="15" w:type="dxa"/>
              <w:right w:w="15" w:type="dxa"/>
            </w:tcMar>
            <w:vAlign w:val="center"/>
          </w:tcPr>
          <w:p w14:paraId="5B8C8BC3">
            <w:pPr>
              <w:keepNext w:val="0"/>
              <w:keepLines w:val="0"/>
              <w:pageBreakBefore w:val="0"/>
              <w:widowControl w:val="0"/>
              <w:kinsoku/>
              <w:wordWrap/>
              <w:overflowPunct/>
              <w:topLinePunct w:val="0"/>
              <w:autoSpaceDE/>
              <w:autoSpaceDN/>
              <w:bidi w:val="0"/>
              <w:adjustRightInd/>
              <w:snapToGrid/>
              <w:spacing w:beforeAutospacing="0" w:afterAutospacing="0" w:line="28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总量</w:t>
            </w:r>
          </w:p>
        </w:tc>
        <w:tc>
          <w:tcPr>
            <w:tcW w:w="1720" w:type="dxa"/>
            <w:shd w:val="clear" w:color="auto" w:fill="auto"/>
            <w:tcMar>
              <w:top w:w="15" w:type="dxa"/>
              <w:left w:w="15" w:type="dxa"/>
              <w:right w:w="15" w:type="dxa"/>
            </w:tcMar>
            <w:vAlign w:val="top"/>
          </w:tcPr>
          <w:p w14:paraId="0A6D5FBD">
            <w:pPr>
              <w:keepNext w:val="0"/>
              <w:keepLines w:val="0"/>
              <w:pageBreakBefore w:val="0"/>
              <w:widowControl w:val="0"/>
              <w:kinsoku/>
              <w:wordWrap/>
              <w:overflowPunct/>
              <w:topLinePunct w:val="0"/>
              <w:autoSpaceDE/>
              <w:autoSpaceDN/>
              <w:bidi w:val="0"/>
              <w:adjustRightInd/>
              <w:snapToGrid/>
              <w:spacing w:beforeAutospacing="0" w:afterAutospacing="0" w:line="28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 xml:space="preserve">193.2 </w:t>
            </w:r>
          </w:p>
        </w:tc>
        <w:tc>
          <w:tcPr>
            <w:tcW w:w="1460" w:type="dxa"/>
            <w:shd w:val="clear" w:color="auto" w:fill="auto"/>
            <w:tcMar>
              <w:top w:w="15" w:type="dxa"/>
              <w:left w:w="15" w:type="dxa"/>
              <w:right w:w="15" w:type="dxa"/>
            </w:tcMar>
            <w:vAlign w:val="top"/>
          </w:tcPr>
          <w:p w14:paraId="045F0074">
            <w:pPr>
              <w:keepNext w:val="0"/>
              <w:keepLines w:val="0"/>
              <w:pageBreakBefore w:val="0"/>
              <w:widowControl w:val="0"/>
              <w:kinsoku/>
              <w:wordWrap/>
              <w:overflowPunct/>
              <w:topLinePunct w:val="0"/>
              <w:autoSpaceDE/>
              <w:autoSpaceDN/>
              <w:bidi w:val="0"/>
              <w:adjustRightInd/>
              <w:snapToGrid/>
              <w:spacing w:beforeAutospacing="0" w:afterAutospacing="0" w:line="28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 xml:space="preserve">95.1 </w:t>
            </w:r>
          </w:p>
        </w:tc>
        <w:tc>
          <w:tcPr>
            <w:tcW w:w="1620" w:type="dxa"/>
            <w:shd w:val="clear" w:color="auto" w:fill="auto"/>
            <w:tcMar>
              <w:top w:w="15" w:type="dxa"/>
              <w:left w:w="15" w:type="dxa"/>
              <w:right w:w="15" w:type="dxa"/>
            </w:tcMar>
            <w:vAlign w:val="top"/>
          </w:tcPr>
          <w:p w14:paraId="3954C73C">
            <w:pPr>
              <w:keepNext w:val="0"/>
              <w:keepLines w:val="0"/>
              <w:pageBreakBefore w:val="0"/>
              <w:widowControl w:val="0"/>
              <w:kinsoku/>
              <w:wordWrap/>
              <w:overflowPunct/>
              <w:topLinePunct w:val="0"/>
              <w:autoSpaceDE/>
              <w:autoSpaceDN/>
              <w:bidi w:val="0"/>
              <w:adjustRightInd/>
              <w:snapToGrid/>
              <w:spacing w:beforeAutospacing="0" w:afterAutospacing="0" w:line="28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 xml:space="preserve">65.4 </w:t>
            </w:r>
          </w:p>
        </w:tc>
        <w:tc>
          <w:tcPr>
            <w:tcW w:w="1230" w:type="dxa"/>
            <w:shd w:val="clear" w:color="auto" w:fill="auto"/>
            <w:tcMar>
              <w:top w:w="15" w:type="dxa"/>
              <w:left w:w="15" w:type="dxa"/>
              <w:right w:w="15" w:type="dxa"/>
            </w:tcMar>
            <w:vAlign w:val="top"/>
          </w:tcPr>
          <w:p w14:paraId="2D4F8218">
            <w:pPr>
              <w:keepNext w:val="0"/>
              <w:keepLines w:val="0"/>
              <w:pageBreakBefore w:val="0"/>
              <w:widowControl w:val="0"/>
              <w:kinsoku/>
              <w:wordWrap/>
              <w:overflowPunct/>
              <w:topLinePunct w:val="0"/>
              <w:autoSpaceDE/>
              <w:autoSpaceDN/>
              <w:bidi w:val="0"/>
              <w:adjustRightInd/>
              <w:snapToGrid/>
              <w:spacing w:beforeAutospacing="0" w:afterAutospacing="0" w:line="28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 xml:space="preserve">32.7 </w:t>
            </w:r>
          </w:p>
        </w:tc>
      </w:tr>
      <w:tr w14:paraId="7E21FE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532" w:hRule="atLeast"/>
        </w:trPr>
        <w:tc>
          <w:tcPr>
            <w:tcW w:w="2206" w:type="dxa"/>
            <w:shd w:val="clear" w:color="auto" w:fill="auto"/>
            <w:tcMar>
              <w:top w:w="15" w:type="dxa"/>
              <w:left w:w="15" w:type="dxa"/>
              <w:right w:w="15" w:type="dxa"/>
            </w:tcMar>
            <w:vAlign w:val="center"/>
          </w:tcPr>
          <w:p w14:paraId="3D70DB34">
            <w:pPr>
              <w:keepNext w:val="0"/>
              <w:keepLines w:val="0"/>
              <w:pageBreakBefore w:val="0"/>
              <w:widowControl w:val="0"/>
              <w:kinsoku/>
              <w:wordWrap/>
              <w:overflowPunct/>
              <w:topLinePunct w:val="0"/>
              <w:autoSpaceDE/>
              <w:autoSpaceDN/>
              <w:bidi w:val="0"/>
              <w:adjustRightInd/>
              <w:snapToGrid/>
              <w:spacing w:beforeAutospacing="0" w:afterAutospacing="0" w:line="28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年平均值（万吨/年）</w:t>
            </w:r>
          </w:p>
        </w:tc>
        <w:tc>
          <w:tcPr>
            <w:tcW w:w="1720" w:type="dxa"/>
            <w:shd w:val="clear" w:color="auto" w:fill="auto"/>
            <w:tcMar>
              <w:top w:w="15" w:type="dxa"/>
              <w:left w:w="15" w:type="dxa"/>
              <w:right w:w="15" w:type="dxa"/>
            </w:tcMar>
            <w:vAlign w:val="center"/>
          </w:tcPr>
          <w:p w14:paraId="1A7C0561">
            <w:pPr>
              <w:keepNext w:val="0"/>
              <w:keepLines w:val="0"/>
              <w:pageBreakBefore w:val="0"/>
              <w:widowControl w:val="0"/>
              <w:kinsoku/>
              <w:wordWrap/>
              <w:overflowPunct/>
              <w:topLinePunct w:val="0"/>
              <w:autoSpaceDE/>
              <w:autoSpaceDN/>
              <w:bidi w:val="0"/>
              <w:adjustRightInd/>
              <w:snapToGrid/>
              <w:spacing w:beforeAutospacing="0" w:afterAutospacing="0" w:line="28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 xml:space="preserve">38.6 </w:t>
            </w:r>
          </w:p>
        </w:tc>
        <w:tc>
          <w:tcPr>
            <w:tcW w:w="1460" w:type="dxa"/>
            <w:shd w:val="clear" w:color="auto" w:fill="auto"/>
            <w:tcMar>
              <w:top w:w="15" w:type="dxa"/>
              <w:left w:w="15" w:type="dxa"/>
              <w:right w:w="15" w:type="dxa"/>
            </w:tcMar>
            <w:vAlign w:val="center"/>
          </w:tcPr>
          <w:p w14:paraId="79EFF707">
            <w:pPr>
              <w:keepNext w:val="0"/>
              <w:keepLines w:val="0"/>
              <w:pageBreakBefore w:val="0"/>
              <w:widowControl w:val="0"/>
              <w:kinsoku/>
              <w:wordWrap/>
              <w:overflowPunct/>
              <w:topLinePunct w:val="0"/>
              <w:autoSpaceDE/>
              <w:autoSpaceDN/>
              <w:bidi w:val="0"/>
              <w:adjustRightInd/>
              <w:snapToGrid/>
              <w:spacing w:beforeAutospacing="0" w:afterAutospacing="0" w:line="28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 xml:space="preserve">19.0 </w:t>
            </w:r>
          </w:p>
        </w:tc>
        <w:tc>
          <w:tcPr>
            <w:tcW w:w="1620" w:type="dxa"/>
            <w:shd w:val="clear" w:color="auto" w:fill="auto"/>
            <w:tcMar>
              <w:top w:w="15" w:type="dxa"/>
              <w:left w:w="15" w:type="dxa"/>
              <w:right w:w="15" w:type="dxa"/>
            </w:tcMar>
            <w:vAlign w:val="center"/>
          </w:tcPr>
          <w:p w14:paraId="54A80C04">
            <w:pPr>
              <w:keepNext w:val="0"/>
              <w:keepLines w:val="0"/>
              <w:pageBreakBefore w:val="0"/>
              <w:widowControl w:val="0"/>
              <w:kinsoku/>
              <w:wordWrap/>
              <w:overflowPunct/>
              <w:topLinePunct w:val="0"/>
              <w:autoSpaceDE/>
              <w:autoSpaceDN/>
              <w:bidi w:val="0"/>
              <w:adjustRightInd/>
              <w:snapToGrid/>
              <w:spacing w:beforeAutospacing="0" w:afterAutospacing="0" w:line="28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 xml:space="preserve">13.1 </w:t>
            </w:r>
          </w:p>
        </w:tc>
        <w:tc>
          <w:tcPr>
            <w:tcW w:w="1230" w:type="dxa"/>
            <w:shd w:val="clear" w:color="auto" w:fill="auto"/>
            <w:tcMar>
              <w:top w:w="15" w:type="dxa"/>
              <w:left w:w="15" w:type="dxa"/>
              <w:right w:w="15" w:type="dxa"/>
            </w:tcMar>
            <w:vAlign w:val="center"/>
          </w:tcPr>
          <w:p w14:paraId="6C31ECA5">
            <w:pPr>
              <w:keepNext w:val="0"/>
              <w:keepLines w:val="0"/>
              <w:pageBreakBefore w:val="0"/>
              <w:widowControl w:val="0"/>
              <w:kinsoku/>
              <w:wordWrap/>
              <w:overflowPunct/>
              <w:topLinePunct w:val="0"/>
              <w:autoSpaceDE/>
              <w:autoSpaceDN/>
              <w:bidi w:val="0"/>
              <w:adjustRightInd/>
              <w:snapToGrid/>
              <w:spacing w:beforeAutospacing="0" w:afterAutospacing="0" w:line="280" w:lineRule="exact"/>
              <w:ind w:left="0" w:leftChars="0" w:firstLine="0" w:firstLineChars="0"/>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default" w:ascii="Times New Roman" w:hAnsi="Times New Roman" w:eastAsia="仿宋_GB2312" w:cs="Times New Roman"/>
                <w:sz w:val="24"/>
                <w:szCs w:val="24"/>
                <w:highlight w:val="none"/>
                <w:vertAlign w:val="baseline"/>
                <w:lang w:val="en-US" w:eastAsia="zh-CN"/>
              </w:rPr>
              <w:t xml:space="preserve">6.5 </w:t>
            </w:r>
          </w:p>
        </w:tc>
      </w:tr>
    </w:tbl>
    <w:p w14:paraId="2ABCF81E">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leftChars="0" w:firstLine="0" w:firstLineChars="0"/>
        <w:jc w:val="center"/>
        <w:textAlignment w:val="auto"/>
        <w:rPr>
          <w:rFonts w:hint="eastAsia" w:ascii="Times New Roman" w:hAnsi="Times New Roman" w:eastAsia="仿宋_GB2312" w:cs="Times New Roman"/>
          <w:b w:val="0"/>
          <w:bCs w:val="0"/>
          <w:color w:val="auto"/>
          <w:w w:val="95"/>
          <w:kern w:val="2"/>
          <w:sz w:val="32"/>
          <w:szCs w:val="32"/>
          <w:highlight w:val="none"/>
          <w:u w:val="none"/>
          <w:lang w:val="en-US" w:eastAsia="zh-CN" w:bidi="ar-SA"/>
        </w:rPr>
      </w:pPr>
      <w:r>
        <w:rPr>
          <w:rFonts w:hint="eastAsia" w:ascii="Times New Roman" w:hAnsi="Times New Roman" w:eastAsia="仿宋_GB2312" w:cs="Times New Roman"/>
          <w:b w:val="0"/>
          <w:bCs w:val="0"/>
          <w:color w:val="auto"/>
          <w:w w:val="95"/>
          <w:kern w:val="2"/>
          <w:sz w:val="32"/>
          <w:szCs w:val="32"/>
          <w:highlight w:val="none"/>
          <w:u w:val="none"/>
          <w:lang w:val="en-US" w:eastAsia="zh-CN" w:bidi="ar-SA"/>
        </w:rPr>
        <w:t>表：规</w:t>
      </w:r>
      <w:r>
        <w:rPr>
          <w:rFonts w:hint="eastAsia" w:ascii="Times New Roman" w:hAnsi="Times New Roman" w:eastAsia="仿宋_GB2312" w:cs="Times New Roman"/>
          <w:b w:val="0"/>
          <w:bCs w:val="0"/>
          <w:color w:val="auto"/>
          <w:spacing w:val="-6"/>
          <w:w w:val="95"/>
          <w:kern w:val="2"/>
          <w:sz w:val="32"/>
          <w:szCs w:val="32"/>
          <w:highlight w:val="none"/>
          <w:u w:val="none"/>
          <w:lang w:val="en-US" w:eastAsia="zh-CN" w:bidi="ar-SA"/>
        </w:rPr>
        <w:t>划远期（</w:t>
      </w:r>
      <w:r>
        <w:rPr>
          <w:rFonts w:hint="default" w:ascii="Times New Roman" w:hAnsi="Times New Roman" w:eastAsia="仿宋_GB2312" w:cs="Times New Roman"/>
          <w:b w:val="0"/>
          <w:bCs w:val="0"/>
          <w:color w:val="auto"/>
          <w:spacing w:val="-6"/>
          <w:w w:val="95"/>
          <w:kern w:val="2"/>
          <w:sz w:val="32"/>
          <w:szCs w:val="32"/>
          <w:highlight w:val="none"/>
          <w:u w:val="none"/>
          <w:lang w:val="en-US" w:eastAsia="zh-CN" w:bidi="ar-SA"/>
        </w:rPr>
        <w:t>2031</w:t>
      </w:r>
      <w:r>
        <w:rPr>
          <w:rFonts w:hint="eastAsia" w:eastAsia="仿宋_GB2312" w:cs="Times New Roman"/>
          <w:b w:val="0"/>
          <w:bCs w:val="0"/>
          <w:color w:val="auto"/>
          <w:spacing w:val="-6"/>
          <w:w w:val="95"/>
          <w:kern w:val="2"/>
          <w:sz w:val="32"/>
          <w:szCs w:val="32"/>
          <w:highlight w:val="none"/>
          <w:u w:val="none"/>
          <w:lang w:val="en-US" w:eastAsia="zh-CN" w:bidi="ar-SA"/>
        </w:rPr>
        <w:t>—</w:t>
      </w:r>
      <w:r>
        <w:rPr>
          <w:rFonts w:hint="default" w:ascii="Times New Roman" w:hAnsi="Times New Roman" w:eastAsia="仿宋_GB2312" w:cs="Times New Roman"/>
          <w:b w:val="0"/>
          <w:bCs w:val="0"/>
          <w:color w:val="auto"/>
          <w:spacing w:val="-6"/>
          <w:w w:val="95"/>
          <w:kern w:val="2"/>
          <w:sz w:val="32"/>
          <w:szCs w:val="32"/>
          <w:highlight w:val="none"/>
          <w:u w:val="none"/>
          <w:lang w:val="en-US" w:eastAsia="zh-CN" w:bidi="ar-SA"/>
        </w:rPr>
        <w:t>2035</w:t>
      </w:r>
      <w:r>
        <w:rPr>
          <w:rFonts w:hint="eastAsia" w:ascii="Times New Roman" w:hAnsi="Times New Roman" w:eastAsia="仿宋_GB2312" w:cs="Times New Roman"/>
          <w:b w:val="0"/>
          <w:bCs w:val="0"/>
          <w:color w:val="auto"/>
          <w:spacing w:val="-6"/>
          <w:w w:val="95"/>
          <w:kern w:val="2"/>
          <w:sz w:val="32"/>
          <w:szCs w:val="32"/>
          <w:highlight w:val="none"/>
          <w:u w:val="none"/>
          <w:lang w:val="en-US" w:eastAsia="zh-CN" w:bidi="ar-SA"/>
        </w:rPr>
        <w:t>年）建筑垃圾产生量与处理量</w:t>
      </w:r>
      <w:r>
        <w:rPr>
          <w:rFonts w:hint="eastAsia" w:ascii="Times New Roman" w:hAnsi="Times New Roman" w:eastAsia="仿宋_GB2312" w:cs="Times New Roman"/>
          <w:b w:val="0"/>
          <w:bCs w:val="0"/>
          <w:color w:val="auto"/>
          <w:w w:val="95"/>
          <w:kern w:val="2"/>
          <w:sz w:val="32"/>
          <w:szCs w:val="32"/>
          <w:highlight w:val="none"/>
          <w:u w:val="none"/>
          <w:lang w:val="en-US" w:eastAsia="zh-CN" w:bidi="ar-SA"/>
        </w:rPr>
        <w:t>预测表</w:t>
      </w:r>
    </w:p>
    <w:p w14:paraId="458EFB66">
      <w:pPr>
        <w:pageBreakBefore w:val="0"/>
        <w:kinsoku/>
        <w:wordWrap/>
        <w:topLinePunct w:val="0"/>
        <w:bidi w:val="0"/>
        <w:spacing w:beforeAutospacing="0" w:afterAutospacing="0" w:line="560" w:lineRule="exact"/>
        <w:ind w:left="0" w:leftChars="0" w:firstLine="0" w:firstLineChars="0"/>
        <w:jc w:val="center"/>
        <w:rPr>
          <w:rFonts w:hint="eastAsia" w:ascii="Times New Roman" w:hAnsi="Times New Roman" w:eastAsia="仿宋_GB2312" w:cs="Times New Roman"/>
          <w:b w:val="0"/>
          <w:bCs w:val="0"/>
          <w:color w:val="auto"/>
          <w:kern w:val="2"/>
          <w:sz w:val="32"/>
          <w:szCs w:val="32"/>
          <w:highlight w:val="none"/>
          <w:u w:val="none"/>
          <w:lang w:val="en-US" w:eastAsia="zh-CN" w:bidi="ar-SA"/>
        </w:rPr>
      </w:pPr>
      <w:r>
        <w:rPr>
          <w:rFonts w:hint="eastAsia" w:ascii="Times New Roman" w:hAnsi="Times New Roman" w:eastAsia="仿宋_GB2312" w:cs="Times New Roman"/>
          <w:b w:val="0"/>
          <w:bCs w:val="0"/>
          <w:color w:val="auto"/>
          <w:kern w:val="2"/>
          <w:sz w:val="32"/>
          <w:szCs w:val="32"/>
          <w:highlight w:val="none"/>
          <w:u w:val="none"/>
          <w:lang w:val="en-US" w:eastAsia="zh-CN" w:bidi="ar-SA"/>
        </w:rPr>
        <w:t>表：融安县建筑垃圾处理设施规划表</w:t>
      </w:r>
    </w:p>
    <w:tbl>
      <w:tblPr>
        <w:tblStyle w:val="16"/>
        <w:tblW w:w="8348" w:type="dxa"/>
        <w:jc w:val="center"/>
        <w:tblLayout w:type="fixed"/>
        <w:tblCellMar>
          <w:top w:w="0" w:type="dxa"/>
          <w:left w:w="57" w:type="dxa"/>
          <w:bottom w:w="0" w:type="dxa"/>
          <w:right w:w="57" w:type="dxa"/>
        </w:tblCellMar>
      </w:tblPr>
      <w:tblGrid>
        <w:gridCol w:w="1852"/>
        <w:gridCol w:w="2493"/>
        <w:gridCol w:w="822"/>
        <w:gridCol w:w="1600"/>
        <w:gridCol w:w="1581"/>
      </w:tblGrid>
      <w:tr w14:paraId="2A4E7D15">
        <w:tblPrEx>
          <w:tblCellMar>
            <w:top w:w="0" w:type="dxa"/>
            <w:left w:w="57" w:type="dxa"/>
            <w:bottom w:w="0" w:type="dxa"/>
            <w:right w:w="57" w:type="dxa"/>
          </w:tblCellMar>
        </w:tblPrEx>
        <w:trPr>
          <w:trHeight w:val="386" w:hRule="atLeast"/>
          <w:tblHeader/>
          <w:jc w:val="center"/>
        </w:trPr>
        <w:tc>
          <w:tcPr>
            <w:tcW w:w="1852" w:type="dxa"/>
            <w:tcBorders>
              <w:top w:val="single" w:color="000000" w:sz="4" w:space="0"/>
              <w:left w:val="single" w:color="000000" w:sz="4" w:space="0"/>
              <w:bottom w:val="single" w:color="000000" w:sz="4" w:space="0"/>
              <w:right w:val="single" w:color="000000" w:sz="4" w:space="0"/>
            </w:tcBorders>
            <w:vAlign w:val="center"/>
          </w:tcPr>
          <w:p w14:paraId="2F1F8A58">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黑体" w:hAnsi="黑体" w:eastAsia="黑体" w:cs="黑体"/>
                <w:sz w:val="24"/>
                <w:szCs w:val="24"/>
                <w:highlight w:val="none"/>
                <w:vertAlign w:val="baseline"/>
                <w:lang w:val="en-US" w:eastAsia="zh-CN"/>
              </w:rPr>
            </w:pPr>
            <w:r>
              <w:rPr>
                <w:rFonts w:hint="eastAsia" w:ascii="黑体" w:hAnsi="黑体" w:eastAsia="黑体" w:cs="黑体"/>
                <w:sz w:val="24"/>
                <w:szCs w:val="24"/>
                <w:highlight w:val="none"/>
                <w:vertAlign w:val="baseline"/>
                <w:lang w:val="en-US" w:eastAsia="zh-CN"/>
              </w:rPr>
              <w:t>项目名称</w:t>
            </w:r>
          </w:p>
        </w:tc>
        <w:tc>
          <w:tcPr>
            <w:tcW w:w="2493" w:type="dxa"/>
            <w:tcBorders>
              <w:top w:val="single" w:color="000000" w:sz="4" w:space="0"/>
              <w:left w:val="single" w:color="000000" w:sz="4" w:space="0"/>
              <w:bottom w:val="single" w:color="000000" w:sz="4" w:space="0"/>
              <w:right w:val="single" w:color="000000" w:sz="4" w:space="0"/>
            </w:tcBorders>
            <w:vAlign w:val="center"/>
          </w:tcPr>
          <w:p w14:paraId="7833245A">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黑体" w:hAnsi="黑体" w:eastAsia="黑体" w:cs="黑体"/>
                <w:sz w:val="24"/>
                <w:szCs w:val="24"/>
                <w:highlight w:val="none"/>
                <w:vertAlign w:val="baseline"/>
                <w:lang w:val="en-US" w:eastAsia="zh-CN"/>
              </w:rPr>
            </w:pPr>
            <w:r>
              <w:rPr>
                <w:rFonts w:hint="eastAsia" w:ascii="黑体" w:hAnsi="黑体" w:eastAsia="黑体" w:cs="黑体"/>
                <w:sz w:val="24"/>
                <w:szCs w:val="24"/>
                <w:highlight w:val="none"/>
                <w:vertAlign w:val="baseline"/>
                <w:lang w:val="en-US" w:eastAsia="zh-CN"/>
              </w:rPr>
              <w:t>建设内容</w:t>
            </w:r>
          </w:p>
        </w:tc>
        <w:tc>
          <w:tcPr>
            <w:tcW w:w="822" w:type="dxa"/>
            <w:tcBorders>
              <w:top w:val="single" w:color="000000" w:sz="4" w:space="0"/>
              <w:left w:val="single" w:color="000000" w:sz="4" w:space="0"/>
              <w:bottom w:val="single" w:color="000000" w:sz="4" w:space="0"/>
              <w:right w:val="single" w:color="000000" w:sz="4" w:space="0"/>
            </w:tcBorders>
            <w:vAlign w:val="center"/>
          </w:tcPr>
          <w:p w14:paraId="29FB134E">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黑体" w:hAnsi="黑体" w:eastAsia="黑体" w:cs="黑体"/>
                <w:sz w:val="24"/>
                <w:szCs w:val="24"/>
                <w:highlight w:val="none"/>
                <w:vertAlign w:val="baseline"/>
                <w:lang w:val="en-US" w:eastAsia="zh-CN"/>
              </w:rPr>
            </w:pPr>
            <w:r>
              <w:rPr>
                <w:rFonts w:hint="eastAsia" w:ascii="黑体" w:hAnsi="黑体" w:eastAsia="黑体" w:cs="黑体"/>
                <w:sz w:val="24"/>
                <w:szCs w:val="24"/>
                <w:highlight w:val="none"/>
                <w:vertAlign w:val="baseline"/>
                <w:lang w:val="en-US" w:eastAsia="zh-CN"/>
              </w:rPr>
              <w:t>占地</w:t>
            </w:r>
          </w:p>
          <w:p w14:paraId="3D624396">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黑体" w:hAnsi="黑体" w:eastAsia="黑体" w:cs="黑体"/>
                <w:sz w:val="24"/>
                <w:szCs w:val="24"/>
                <w:highlight w:val="none"/>
                <w:vertAlign w:val="baseline"/>
                <w:lang w:val="en-US" w:eastAsia="zh-CN"/>
              </w:rPr>
            </w:pPr>
            <w:r>
              <w:rPr>
                <w:rFonts w:hint="eastAsia" w:ascii="黑体" w:hAnsi="黑体" w:eastAsia="黑体" w:cs="黑体"/>
                <w:sz w:val="24"/>
                <w:szCs w:val="24"/>
                <w:highlight w:val="none"/>
                <w:vertAlign w:val="baseline"/>
                <w:lang w:val="en-US" w:eastAsia="zh-CN"/>
              </w:rPr>
              <w:t>（亩）</w:t>
            </w:r>
          </w:p>
        </w:tc>
        <w:tc>
          <w:tcPr>
            <w:tcW w:w="1600" w:type="dxa"/>
            <w:tcBorders>
              <w:top w:val="single" w:color="000000" w:sz="4" w:space="0"/>
              <w:left w:val="single" w:color="000000" w:sz="4" w:space="0"/>
              <w:bottom w:val="single" w:color="000000" w:sz="4" w:space="0"/>
              <w:right w:val="single" w:color="000000" w:sz="4" w:space="0"/>
            </w:tcBorders>
            <w:vAlign w:val="center"/>
          </w:tcPr>
          <w:p w14:paraId="3D93A657">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黑体" w:hAnsi="黑体" w:eastAsia="黑体" w:cs="黑体"/>
                <w:sz w:val="24"/>
                <w:szCs w:val="24"/>
                <w:highlight w:val="none"/>
                <w:vertAlign w:val="baseline"/>
                <w:lang w:val="en-US" w:eastAsia="zh-CN"/>
              </w:rPr>
            </w:pPr>
            <w:r>
              <w:rPr>
                <w:rFonts w:hint="eastAsia" w:ascii="黑体" w:hAnsi="黑体" w:eastAsia="黑体" w:cs="黑体"/>
                <w:sz w:val="24"/>
                <w:szCs w:val="24"/>
                <w:highlight w:val="none"/>
                <w:vertAlign w:val="baseline"/>
                <w:lang w:val="en-US" w:eastAsia="zh-CN"/>
              </w:rPr>
              <w:t>地址</w:t>
            </w:r>
          </w:p>
        </w:tc>
        <w:tc>
          <w:tcPr>
            <w:tcW w:w="1581" w:type="dxa"/>
            <w:tcBorders>
              <w:top w:val="single" w:color="000000" w:sz="4" w:space="0"/>
              <w:left w:val="single" w:color="000000" w:sz="4" w:space="0"/>
              <w:bottom w:val="single" w:color="000000" w:sz="4" w:space="0"/>
              <w:right w:val="single" w:color="000000" w:sz="4" w:space="0"/>
            </w:tcBorders>
            <w:vAlign w:val="center"/>
          </w:tcPr>
          <w:p w14:paraId="02AF74D8">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黑体" w:hAnsi="黑体" w:eastAsia="黑体" w:cs="黑体"/>
                <w:sz w:val="24"/>
                <w:szCs w:val="24"/>
                <w:highlight w:val="none"/>
                <w:vertAlign w:val="baseline"/>
                <w:lang w:val="en-US" w:eastAsia="zh-CN"/>
              </w:rPr>
            </w:pPr>
            <w:r>
              <w:rPr>
                <w:rFonts w:hint="eastAsia" w:ascii="黑体" w:hAnsi="黑体" w:eastAsia="黑体" w:cs="黑体"/>
                <w:sz w:val="24"/>
                <w:szCs w:val="24"/>
                <w:highlight w:val="none"/>
                <w:vertAlign w:val="baseline"/>
                <w:lang w:val="en-US" w:eastAsia="zh-CN"/>
              </w:rPr>
              <w:t>项目总投资（万元）</w:t>
            </w:r>
          </w:p>
        </w:tc>
      </w:tr>
      <w:tr w14:paraId="2E8328F9">
        <w:tblPrEx>
          <w:tblCellMar>
            <w:top w:w="0" w:type="dxa"/>
            <w:left w:w="57" w:type="dxa"/>
            <w:bottom w:w="0" w:type="dxa"/>
            <w:right w:w="57" w:type="dxa"/>
          </w:tblCellMar>
        </w:tblPrEx>
        <w:trPr>
          <w:cantSplit/>
          <w:trHeight w:val="383" w:hRule="atLeast"/>
          <w:jc w:val="center"/>
        </w:trPr>
        <w:tc>
          <w:tcPr>
            <w:tcW w:w="1852" w:type="dxa"/>
            <w:tcBorders>
              <w:top w:val="single" w:color="000000" w:sz="4" w:space="0"/>
              <w:left w:val="single" w:color="000000" w:sz="4" w:space="0"/>
              <w:bottom w:val="single" w:color="000000" w:sz="4" w:space="0"/>
              <w:right w:val="single" w:color="000000" w:sz="4" w:space="0"/>
            </w:tcBorders>
            <w:vAlign w:val="center"/>
          </w:tcPr>
          <w:p w14:paraId="25E15DB3">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仿宋_GB2312" w:cs="Times New Roman"/>
                <w:color w:val="auto"/>
                <w:sz w:val="24"/>
                <w:szCs w:val="24"/>
                <w:highlight w:val="none"/>
                <w:u w:val="none"/>
                <w:vertAlign w:val="baseline"/>
                <w:lang w:val="en-US" w:eastAsia="zh-CN"/>
              </w:rPr>
            </w:pPr>
            <w:r>
              <w:rPr>
                <w:rFonts w:hint="default" w:ascii="Times New Roman" w:hAnsi="Times New Roman" w:eastAsia="仿宋_GB2312" w:cs="Times New Roman"/>
                <w:color w:val="auto"/>
                <w:sz w:val="24"/>
                <w:szCs w:val="24"/>
                <w:highlight w:val="none"/>
                <w:u w:val="none"/>
                <w:vertAlign w:val="baseline"/>
                <w:lang w:val="en-US" w:eastAsia="zh-CN"/>
              </w:rPr>
              <w:t>融安县建筑垃圾消纳场</w:t>
            </w:r>
          </w:p>
        </w:tc>
        <w:tc>
          <w:tcPr>
            <w:tcW w:w="2493" w:type="dxa"/>
            <w:tcBorders>
              <w:top w:val="single" w:color="000000" w:sz="4" w:space="0"/>
              <w:left w:val="single" w:color="000000" w:sz="4" w:space="0"/>
              <w:bottom w:val="single" w:color="000000" w:sz="4" w:space="0"/>
              <w:right w:val="single" w:color="000000" w:sz="4" w:space="0"/>
            </w:tcBorders>
            <w:vAlign w:val="center"/>
          </w:tcPr>
          <w:p w14:paraId="2497E20A">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仿宋_GB2312" w:cs="Times New Roman"/>
                <w:color w:val="auto"/>
                <w:sz w:val="24"/>
                <w:szCs w:val="24"/>
                <w:highlight w:val="none"/>
                <w:u w:val="none"/>
                <w:vertAlign w:val="baseline"/>
                <w:lang w:val="en-US" w:eastAsia="zh-CN"/>
              </w:rPr>
            </w:pPr>
            <w:r>
              <w:rPr>
                <w:rFonts w:hint="default" w:ascii="Times New Roman" w:hAnsi="Times New Roman" w:eastAsia="仿宋_GB2312" w:cs="Times New Roman"/>
                <w:color w:val="auto"/>
                <w:sz w:val="24"/>
                <w:szCs w:val="24"/>
                <w:highlight w:val="none"/>
                <w:u w:val="none"/>
                <w:vertAlign w:val="baseline"/>
                <w:lang w:val="en-US" w:eastAsia="zh-CN"/>
              </w:rPr>
              <w:t>处理总量约650万吨的建筑垃圾消纳场</w:t>
            </w:r>
          </w:p>
        </w:tc>
        <w:tc>
          <w:tcPr>
            <w:tcW w:w="822" w:type="dxa"/>
            <w:tcBorders>
              <w:top w:val="single" w:color="000000" w:sz="4" w:space="0"/>
              <w:left w:val="single" w:color="000000" w:sz="4" w:space="0"/>
              <w:bottom w:val="single" w:color="000000" w:sz="4" w:space="0"/>
              <w:right w:val="single" w:color="000000" w:sz="4" w:space="0"/>
            </w:tcBorders>
            <w:vAlign w:val="center"/>
          </w:tcPr>
          <w:p w14:paraId="37BF841B">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仿宋_GB2312" w:cs="Times New Roman"/>
                <w:color w:val="auto"/>
                <w:sz w:val="24"/>
                <w:szCs w:val="24"/>
                <w:highlight w:val="none"/>
                <w:u w:val="none"/>
                <w:vertAlign w:val="baseline"/>
                <w:lang w:val="en-US" w:eastAsia="zh-CN"/>
              </w:rPr>
            </w:pPr>
            <w:r>
              <w:rPr>
                <w:rFonts w:hint="default" w:ascii="Times New Roman" w:hAnsi="Times New Roman" w:eastAsia="仿宋_GB2312" w:cs="Times New Roman"/>
                <w:color w:val="auto"/>
                <w:sz w:val="24"/>
                <w:szCs w:val="24"/>
                <w:highlight w:val="none"/>
                <w:u w:val="none"/>
                <w:vertAlign w:val="baseline"/>
                <w:lang w:val="en-US" w:eastAsia="zh-CN"/>
              </w:rPr>
              <w:t>280亩</w:t>
            </w:r>
          </w:p>
        </w:tc>
        <w:tc>
          <w:tcPr>
            <w:tcW w:w="1600" w:type="dxa"/>
            <w:tcBorders>
              <w:top w:val="single" w:color="000000" w:sz="4" w:space="0"/>
              <w:left w:val="single" w:color="000000" w:sz="4" w:space="0"/>
              <w:bottom w:val="single" w:color="000000" w:sz="4" w:space="0"/>
              <w:right w:val="single" w:color="000000" w:sz="4" w:space="0"/>
            </w:tcBorders>
            <w:vAlign w:val="center"/>
          </w:tcPr>
          <w:p w14:paraId="714D953F">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仿宋_GB2312" w:cs="Times New Roman"/>
                <w:color w:val="auto"/>
                <w:sz w:val="24"/>
                <w:szCs w:val="24"/>
                <w:highlight w:val="none"/>
                <w:u w:val="none"/>
                <w:vertAlign w:val="baseline"/>
                <w:lang w:val="en-US" w:eastAsia="zh-CN"/>
              </w:rPr>
            </w:pPr>
            <w:r>
              <w:rPr>
                <w:rFonts w:hint="default" w:ascii="Times New Roman" w:hAnsi="Times New Roman" w:eastAsia="仿宋_GB2312" w:cs="Times New Roman"/>
                <w:color w:val="auto"/>
                <w:sz w:val="24"/>
                <w:szCs w:val="24"/>
                <w:highlight w:val="none"/>
                <w:u w:val="none"/>
                <w:vertAlign w:val="baseline"/>
                <w:lang w:val="en-US" w:eastAsia="zh-CN"/>
              </w:rPr>
              <w:t>长安镇中岭坳</w:t>
            </w:r>
          </w:p>
        </w:tc>
        <w:tc>
          <w:tcPr>
            <w:tcW w:w="1581" w:type="dxa"/>
            <w:tcBorders>
              <w:top w:val="single" w:color="000000" w:sz="4" w:space="0"/>
              <w:left w:val="single" w:color="000000" w:sz="4" w:space="0"/>
              <w:bottom w:val="single" w:color="000000" w:sz="4" w:space="0"/>
              <w:right w:val="single" w:color="000000" w:sz="4" w:space="0"/>
            </w:tcBorders>
            <w:vAlign w:val="center"/>
          </w:tcPr>
          <w:p w14:paraId="0ED008FA">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仿宋_GB2312" w:cs="Times New Roman"/>
                <w:color w:val="auto"/>
                <w:sz w:val="24"/>
                <w:szCs w:val="24"/>
                <w:highlight w:val="none"/>
                <w:u w:val="none"/>
                <w:vertAlign w:val="baseline"/>
                <w:lang w:val="en-US" w:eastAsia="zh-CN"/>
              </w:rPr>
            </w:pPr>
            <w:r>
              <w:rPr>
                <w:rFonts w:hint="default" w:ascii="Times New Roman" w:hAnsi="Times New Roman" w:eastAsia="仿宋_GB2312" w:cs="Times New Roman"/>
                <w:color w:val="auto"/>
                <w:sz w:val="24"/>
                <w:szCs w:val="24"/>
                <w:highlight w:val="none"/>
                <w:u w:val="none"/>
                <w:vertAlign w:val="baseline"/>
                <w:lang w:val="en-US" w:eastAsia="zh-CN"/>
              </w:rPr>
              <w:t>2700</w:t>
            </w:r>
          </w:p>
        </w:tc>
      </w:tr>
      <w:tr w14:paraId="7453E61A">
        <w:tblPrEx>
          <w:tblCellMar>
            <w:top w:w="0" w:type="dxa"/>
            <w:left w:w="57" w:type="dxa"/>
            <w:bottom w:w="0" w:type="dxa"/>
            <w:right w:w="57" w:type="dxa"/>
          </w:tblCellMar>
        </w:tblPrEx>
        <w:trPr>
          <w:cantSplit/>
          <w:trHeight w:val="666" w:hRule="atLeast"/>
          <w:jc w:val="center"/>
        </w:trPr>
        <w:tc>
          <w:tcPr>
            <w:tcW w:w="1852" w:type="dxa"/>
            <w:tcBorders>
              <w:top w:val="single" w:color="000000" w:sz="4" w:space="0"/>
              <w:left w:val="single" w:color="000000" w:sz="4" w:space="0"/>
              <w:bottom w:val="single" w:color="000000" w:sz="4" w:space="0"/>
              <w:right w:val="single" w:color="000000" w:sz="4" w:space="0"/>
            </w:tcBorders>
            <w:vAlign w:val="center"/>
          </w:tcPr>
          <w:p w14:paraId="0BC4CFAA">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仿宋_GB2312" w:cs="Times New Roman"/>
                <w:color w:val="auto"/>
                <w:sz w:val="24"/>
                <w:szCs w:val="24"/>
                <w:highlight w:val="none"/>
                <w:u w:val="none"/>
                <w:vertAlign w:val="baseline"/>
                <w:lang w:val="en-US" w:eastAsia="zh-CN"/>
              </w:rPr>
            </w:pPr>
            <w:r>
              <w:rPr>
                <w:rFonts w:hint="default" w:ascii="Times New Roman" w:hAnsi="Times New Roman" w:eastAsia="仿宋_GB2312" w:cs="Times New Roman"/>
                <w:color w:val="auto"/>
                <w:sz w:val="24"/>
                <w:szCs w:val="24"/>
                <w:highlight w:val="none"/>
                <w:u w:val="none"/>
                <w:vertAlign w:val="baseline"/>
                <w:lang w:val="en-US" w:eastAsia="zh-CN"/>
              </w:rPr>
              <w:t>城市污泥和建筑垃圾资源化利用项目</w:t>
            </w:r>
          </w:p>
        </w:tc>
        <w:tc>
          <w:tcPr>
            <w:tcW w:w="2493" w:type="dxa"/>
            <w:tcBorders>
              <w:top w:val="single" w:color="000000" w:sz="4" w:space="0"/>
              <w:left w:val="single" w:color="000000" w:sz="4" w:space="0"/>
              <w:bottom w:val="single" w:color="000000" w:sz="4" w:space="0"/>
              <w:right w:val="single" w:color="000000" w:sz="4" w:space="0"/>
            </w:tcBorders>
            <w:vAlign w:val="center"/>
          </w:tcPr>
          <w:p w14:paraId="7E047AA4">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仿宋_GB2312" w:cs="Times New Roman"/>
                <w:color w:val="auto"/>
                <w:sz w:val="24"/>
                <w:szCs w:val="24"/>
                <w:highlight w:val="none"/>
                <w:u w:val="none"/>
                <w:vertAlign w:val="baseline"/>
                <w:lang w:val="en-US" w:eastAsia="zh-CN"/>
              </w:rPr>
            </w:pPr>
            <w:r>
              <w:rPr>
                <w:rFonts w:hint="default" w:ascii="Times New Roman" w:hAnsi="Times New Roman" w:eastAsia="仿宋_GB2312" w:cs="Times New Roman"/>
                <w:color w:val="auto"/>
                <w:sz w:val="24"/>
                <w:szCs w:val="24"/>
                <w:highlight w:val="none"/>
                <w:u w:val="none"/>
                <w:vertAlign w:val="baseline"/>
                <w:lang w:val="en-US" w:eastAsia="zh-CN"/>
              </w:rPr>
              <w:t>处理规模为100吨/日的城市污泥和建筑垃圾资源化利用处理厂</w:t>
            </w:r>
          </w:p>
        </w:tc>
        <w:tc>
          <w:tcPr>
            <w:tcW w:w="822" w:type="dxa"/>
            <w:tcBorders>
              <w:top w:val="single" w:color="000000" w:sz="4" w:space="0"/>
              <w:left w:val="single" w:color="000000" w:sz="4" w:space="0"/>
              <w:bottom w:val="single" w:color="000000" w:sz="4" w:space="0"/>
              <w:right w:val="single" w:color="000000" w:sz="4" w:space="0"/>
            </w:tcBorders>
            <w:vAlign w:val="center"/>
          </w:tcPr>
          <w:p w14:paraId="7325E860">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仿宋_GB2312" w:cs="Times New Roman"/>
                <w:color w:val="auto"/>
                <w:sz w:val="24"/>
                <w:szCs w:val="24"/>
                <w:highlight w:val="none"/>
                <w:u w:val="none"/>
                <w:vertAlign w:val="baseline"/>
                <w:lang w:val="en-US" w:eastAsia="zh-CN"/>
              </w:rPr>
            </w:pPr>
            <w:r>
              <w:rPr>
                <w:rFonts w:hint="default" w:ascii="Times New Roman" w:hAnsi="Times New Roman" w:eastAsia="仿宋_GB2312" w:cs="Times New Roman"/>
                <w:color w:val="auto"/>
                <w:sz w:val="24"/>
                <w:szCs w:val="24"/>
                <w:highlight w:val="none"/>
                <w:u w:val="none"/>
                <w:vertAlign w:val="baseline"/>
                <w:lang w:val="en-US" w:eastAsia="zh-CN"/>
              </w:rPr>
              <w:t>30亩</w:t>
            </w:r>
          </w:p>
        </w:tc>
        <w:tc>
          <w:tcPr>
            <w:tcW w:w="1600" w:type="dxa"/>
            <w:tcBorders>
              <w:top w:val="single" w:color="000000" w:sz="4" w:space="0"/>
              <w:left w:val="single" w:color="000000" w:sz="4" w:space="0"/>
              <w:bottom w:val="single" w:color="000000" w:sz="4" w:space="0"/>
              <w:right w:val="single" w:color="000000" w:sz="4" w:space="0"/>
            </w:tcBorders>
            <w:vAlign w:val="center"/>
          </w:tcPr>
          <w:p w14:paraId="5A71DFBA">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仿宋_GB2312" w:cs="Times New Roman"/>
                <w:color w:val="auto"/>
                <w:sz w:val="24"/>
                <w:szCs w:val="24"/>
                <w:highlight w:val="none"/>
                <w:u w:val="none"/>
                <w:vertAlign w:val="baseline"/>
                <w:lang w:val="en-US" w:eastAsia="zh-CN"/>
              </w:rPr>
            </w:pPr>
            <w:r>
              <w:rPr>
                <w:rFonts w:hint="default" w:ascii="Times New Roman" w:hAnsi="Times New Roman" w:eastAsia="仿宋_GB2312" w:cs="Times New Roman"/>
                <w:color w:val="auto"/>
                <w:sz w:val="24"/>
                <w:szCs w:val="24"/>
                <w:highlight w:val="none"/>
                <w:u w:val="none"/>
                <w:vertAlign w:val="baseline"/>
                <w:lang w:val="en-US" w:eastAsia="zh-CN"/>
              </w:rPr>
              <w:t>长安镇董滩</w:t>
            </w:r>
          </w:p>
        </w:tc>
        <w:tc>
          <w:tcPr>
            <w:tcW w:w="1581" w:type="dxa"/>
            <w:tcBorders>
              <w:top w:val="single" w:color="000000" w:sz="4" w:space="0"/>
              <w:left w:val="single" w:color="000000" w:sz="4" w:space="0"/>
              <w:bottom w:val="single" w:color="000000" w:sz="4" w:space="0"/>
              <w:right w:val="single" w:color="000000" w:sz="4" w:space="0"/>
            </w:tcBorders>
            <w:vAlign w:val="center"/>
          </w:tcPr>
          <w:p w14:paraId="0F6D7BB0">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仿宋_GB2312" w:cs="Times New Roman"/>
                <w:color w:val="auto"/>
                <w:sz w:val="24"/>
                <w:szCs w:val="24"/>
                <w:highlight w:val="none"/>
                <w:u w:val="none"/>
                <w:vertAlign w:val="baseline"/>
                <w:lang w:val="en-US" w:eastAsia="zh-CN"/>
              </w:rPr>
            </w:pPr>
            <w:r>
              <w:rPr>
                <w:rFonts w:hint="default" w:ascii="Times New Roman" w:hAnsi="Times New Roman" w:eastAsia="仿宋_GB2312" w:cs="Times New Roman"/>
                <w:color w:val="auto"/>
                <w:sz w:val="24"/>
                <w:szCs w:val="24"/>
                <w:highlight w:val="none"/>
                <w:u w:val="none"/>
                <w:vertAlign w:val="baseline"/>
                <w:lang w:val="en-US" w:eastAsia="zh-CN"/>
              </w:rPr>
              <w:t>1000</w:t>
            </w:r>
          </w:p>
        </w:tc>
      </w:tr>
    </w:tbl>
    <w:p w14:paraId="73152031">
      <w:pPr>
        <w:pageBreakBefore w:val="0"/>
        <w:kinsoku/>
        <w:wordWrap/>
        <w:topLinePunct w:val="0"/>
        <w:bidi w:val="0"/>
        <w:spacing w:beforeAutospacing="0" w:afterAutospacing="0" w:line="560" w:lineRule="exact"/>
        <w:ind w:left="0" w:leftChars="0" w:firstLine="0" w:firstLineChars="0"/>
        <w:jc w:val="center"/>
        <w:rPr>
          <w:rFonts w:hint="eastAsia" w:ascii="Times New Roman" w:hAnsi="Times New Roman" w:eastAsia="仿宋_GB2312" w:cs="Times New Roman"/>
          <w:b w:val="0"/>
          <w:bCs w:val="0"/>
          <w:color w:val="auto"/>
          <w:kern w:val="2"/>
          <w:sz w:val="32"/>
          <w:szCs w:val="32"/>
          <w:highlight w:val="none"/>
          <w:u w:val="none"/>
          <w:lang w:val="en-US" w:eastAsia="zh-CN" w:bidi="ar-SA"/>
        </w:rPr>
      </w:pPr>
    </w:p>
    <w:p w14:paraId="262BEF67">
      <w:pPr>
        <w:pageBreakBefore w:val="0"/>
        <w:kinsoku/>
        <w:wordWrap/>
        <w:topLinePunct w:val="0"/>
        <w:bidi w:val="0"/>
        <w:spacing w:beforeAutospacing="0" w:afterAutospacing="0" w:line="560" w:lineRule="exact"/>
        <w:ind w:left="0" w:leftChars="0" w:firstLine="0" w:firstLineChars="0"/>
        <w:jc w:val="center"/>
        <w:rPr>
          <w:rFonts w:hint="eastAsia" w:ascii="Times New Roman" w:hAnsi="Times New Roman" w:eastAsia="仿宋_GB2312" w:cs="Times New Roman"/>
          <w:b w:val="0"/>
          <w:bCs w:val="0"/>
          <w:color w:val="auto"/>
          <w:kern w:val="2"/>
          <w:sz w:val="32"/>
          <w:szCs w:val="32"/>
          <w:highlight w:val="none"/>
          <w:u w:val="none"/>
          <w:lang w:val="en-US" w:eastAsia="zh-CN" w:bidi="ar-SA"/>
        </w:rPr>
      </w:pPr>
      <w:r>
        <w:rPr>
          <w:rFonts w:hint="eastAsia" w:ascii="Times New Roman" w:hAnsi="Times New Roman" w:eastAsia="仿宋_GB2312" w:cs="Times New Roman"/>
          <w:b w:val="0"/>
          <w:bCs w:val="0"/>
          <w:color w:val="auto"/>
          <w:kern w:val="2"/>
          <w:sz w:val="32"/>
          <w:szCs w:val="32"/>
          <w:highlight w:val="none"/>
          <w:u w:val="none"/>
          <w:lang w:val="en-US" w:eastAsia="zh-CN" w:bidi="ar-SA"/>
        </w:rPr>
        <w:t>表：融安县近期重点建设项目统计表</w:t>
      </w:r>
    </w:p>
    <w:tbl>
      <w:tblPr>
        <w:tblStyle w:val="16"/>
        <w:tblW w:w="9680" w:type="dxa"/>
        <w:jc w:val="center"/>
        <w:tblLayout w:type="fixed"/>
        <w:tblCellMar>
          <w:top w:w="0" w:type="dxa"/>
          <w:left w:w="57" w:type="dxa"/>
          <w:bottom w:w="0" w:type="dxa"/>
          <w:right w:w="57" w:type="dxa"/>
        </w:tblCellMar>
      </w:tblPr>
      <w:tblGrid>
        <w:gridCol w:w="674"/>
        <w:gridCol w:w="726"/>
        <w:gridCol w:w="1385"/>
        <w:gridCol w:w="3738"/>
        <w:gridCol w:w="1899"/>
        <w:gridCol w:w="1258"/>
      </w:tblGrid>
      <w:tr w14:paraId="47312476">
        <w:tblPrEx>
          <w:tblCellMar>
            <w:top w:w="0" w:type="dxa"/>
            <w:left w:w="57" w:type="dxa"/>
            <w:bottom w:w="0" w:type="dxa"/>
            <w:right w:w="57" w:type="dxa"/>
          </w:tblCellMar>
        </w:tblPrEx>
        <w:trPr>
          <w:trHeight w:val="771" w:hRule="exact"/>
          <w:tblHeader/>
          <w:jc w:val="center"/>
        </w:trPr>
        <w:tc>
          <w:tcPr>
            <w:tcW w:w="674" w:type="dxa"/>
            <w:tcBorders>
              <w:top w:val="single" w:color="000000" w:sz="4" w:space="0"/>
              <w:left w:val="single" w:color="000000" w:sz="4" w:space="0"/>
              <w:bottom w:val="single" w:color="000000" w:sz="4" w:space="0"/>
              <w:right w:val="single" w:color="000000" w:sz="4" w:space="0"/>
            </w:tcBorders>
            <w:vAlign w:val="center"/>
          </w:tcPr>
          <w:p w14:paraId="5DD26F7C">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黑体" w:hAnsi="黑体" w:eastAsia="黑体" w:cs="黑体"/>
                <w:sz w:val="24"/>
                <w:szCs w:val="24"/>
                <w:highlight w:val="none"/>
                <w:vertAlign w:val="baseline"/>
                <w:lang w:val="en-US" w:eastAsia="zh-CN"/>
              </w:rPr>
            </w:pPr>
            <w:r>
              <w:rPr>
                <w:rFonts w:hint="eastAsia" w:ascii="黑体" w:hAnsi="黑体" w:eastAsia="黑体" w:cs="黑体"/>
                <w:sz w:val="24"/>
                <w:szCs w:val="24"/>
                <w:highlight w:val="none"/>
                <w:vertAlign w:val="baseline"/>
                <w:lang w:val="en-US" w:eastAsia="zh-CN"/>
              </w:rPr>
              <w:t>序号</w:t>
            </w:r>
          </w:p>
        </w:tc>
        <w:tc>
          <w:tcPr>
            <w:tcW w:w="2111" w:type="dxa"/>
            <w:gridSpan w:val="2"/>
            <w:tcBorders>
              <w:top w:val="single" w:color="000000" w:sz="4" w:space="0"/>
              <w:left w:val="single" w:color="000000" w:sz="4" w:space="0"/>
              <w:bottom w:val="single" w:color="000000" w:sz="4" w:space="0"/>
              <w:right w:val="single" w:color="000000" w:sz="4" w:space="0"/>
            </w:tcBorders>
            <w:vAlign w:val="center"/>
          </w:tcPr>
          <w:p w14:paraId="19212F80">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黑体" w:hAnsi="黑体" w:eastAsia="黑体" w:cs="黑体"/>
                <w:sz w:val="24"/>
                <w:szCs w:val="24"/>
                <w:highlight w:val="none"/>
                <w:vertAlign w:val="baseline"/>
                <w:lang w:val="en-US" w:eastAsia="zh-CN"/>
              </w:rPr>
            </w:pPr>
            <w:r>
              <w:rPr>
                <w:rFonts w:hint="eastAsia" w:ascii="黑体" w:hAnsi="黑体" w:eastAsia="黑体" w:cs="黑体"/>
                <w:sz w:val="24"/>
                <w:szCs w:val="24"/>
                <w:highlight w:val="none"/>
                <w:vertAlign w:val="baseline"/>
                <w:lang w:val="en-US" w:eastAsia="zh-CN"/>
              </w:rPr>
              <w:t>设施</w:t>
            </w:r>
          </w:p>
        </w:tc>
        <w:tc>
          <w:tcPr>
            <w:tcW w:w="3738" w:type="dxa"/>
            <w:tcBorders>
              <w:top w:val="single" w:color="000000" w:sz="4" w:space="0"/>
              <w:left w:val="single" w:color="000000" w:sz="4" w:space="0"/>
              <w:bottom w:val="single" w:color="000000" w:sz="4" w:space="0"/>
              <w:right w:val="single" w:color="000000" w:sz="4" w:space="0"/>
            </w:tcBorders>
            <w:vAlign w:val="center"/>
          </w:tcPr>
          <w:p w14:paraId="5A91F9B9">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黑体" w:hAnsi="黑体" w:eastAsia="黑体" w:cs="黑体"/>
                <w:sz w:val="24"/>
                <w:szCs w:val="24"/>
                <w:highlight w:val="none"/>
                <w:vertAlign w:val="baseline"/>
                <w:lang w:val="en-US" w:eastAsia="zh-CN"/>
              </w:rPr>
            </w:pPr>
            <w:r>
              <w:rPr>
                <w:rFonts w:hint="eastAsia" w:ascii="黑体" w:hAnsi="黑体" w:eastAsia="黑体" w:cs="黑体"/>
                <w:sz w:val="24"/>
                <w:szCs w:val="24"/>
                <w:highlight w:val="none"/>
                <w:vertAlign w:val="baseline"/>
                <w:lang w:val="en-US" w:eastAsia="zh-CN"/>
              </w:rPr>
              <w:t>规划内容</w:t>
            </w:r>
          </w:p>
        </w:tc>
        <w:tc>
          <w:tcPr>
            <w:tcW w:w="1899" w:type="dxa"/>
            <w:tcBorders>
              <w:top w:val="single" w:color="000000" w:sz="4" w:space="0"/>
              <w:left w:val="single" w:color="000000" w:sz="4" w:space="0"/>
              <w:bottom w:val="single" w:color="000000" w:sz="4" w:space="0"/>
              <w:right w:val="single" w:color="000000" w:sz="4" w:space="0"/>
            </w:tcBorders>
            <w:vAlign w:val="center"/>
          </w:tcPr>
          <w:p w14:paraId="0C15012B">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黑体" w:hAnsi="黑体" w:eastAsia="黑体" w:cs="黑体"/>
                <w:sz w:val="24"/>
                <w:szCs w:val="24"/>
                <w:highlight w:val="none"/>
                <w:vertAlign w:val="baseline"/>
                <w:lang w:val="en-US" w:eastAsia="zh-CN"/>
              </w:rPr>
            </w:pPr>
            <w:r>
              <w:rPr>
                <w:rFonts w:hint="eastAsia" w:ascii="黑体" w:hAnsi="黑体" w:eastAsia="黑体" w:cs="黑体"/>
                <w:sz w:val="24"/>
                <w:szCs w:val="24"/>
                <w:highlight w:val="none"/>
                <w:vertAlign w:val="baseline"/>
                <w:lang w:val="en-US" w:eastAsia="zh-CN"/>
              </w:rPr>
              <w:t>建设时序</w:t>
            </w:r>
          </w:p>
        </w:tc>
        <w:tc>
          <w:tcPr>
            <w:tcW w:w="1258" w:type="dxa"/>
            <w:tcBorders>
              <w:top w:val="single" w:color="000000" w:sz="4" w:space="0"/>
              <w:left w:val="single" w:color="000000" w:sz="4" w:space="0"/>
              <w:bottom w:val="single" w:color="000000" w:sz="4" w:space="0"/>
              <w:right w:val="single" w:color="000000" w:sz="4" w:space="0"/>
            </w:tcBorders>
            <w:vAlign w:val="center"/>
          </w:tcPr>
          <w:p w14:paraId="3A63B918">
            <w:pPr>
              <w:keepNext w:val="0"/>
              <w:keepLines w:val="0"/>
              <w:pageBreakBefore w:val="0"/>
              <w:widowControl w:val="0"/>
              <w:kinsoku/>
              <w:wordWrap/>
              <w:overflowPunct/>
              <w:topLinePunct w:val="0"/>
              <w:autoSpaceDE/>
              <w:autoSpaceDN/>
              <w:bidi w:val="0"/>
              <w:adjustRightInd/>
              <w:snapToGrid/>
              <w:spacing w:beforeAutospacing="0" w:afterAutospacing="0" w:line="360" w:lineRule="exact"/>
              <w:ind w:left="0" w:leftChars="0" w:firstLine="0" w:firstLineChars="0"/>
              <w:jc w:val="center"/>
              <w:textAlignment w:val="auto"/>
              <w:rPr>
                <w:rFonts w:hint="eastAsia" w:ascii="黑体" w:hAnsi="黑体" w:eastAsia="黑体" w:cs="黑体"/>
                <w:sz w:val="24"/>
                <w:szCs w:val="24"/>
                <w:highlight w:val="none"/>
                <w:vertAlign w:val="baseline"/>
                <w:lang w:val="en-US" w:eastAsia="zh-CN"/>
              </w:rPr>
            </w:pPr>
            <w:r>
              <w:rPr>
                <w:rFonts w:hint="eastAsia" w:ascii="黑体" w:hAnsi="黑体" w:eastAsia="黑体" w:cs="黑体"/>
                <w:sz w:val="24"/>
                <w:szCs w:val="24"/>
                <w:highlight w:val="none"/>
                <w:vertAlign w:val="baseline"/>
                <w:lang w:val="en-US" w:eastAsia="zh-CN"/>
              </w:rPr>
              <w:t>投资匡算</w:t>
            </w:r>
          </w:p>
          <w:p w14:paraId="521FFD92">
            <w:pPr>
              <w:keepNext w:val="0"/>
              <w:keepLines w:val="0"/>
              <w:pageBreakBefore w:val="0"/>
              <w:widowControl w:val="0"/>
              <w:kinsoku/>
              <w:wordWrap/>
              <w:overflowPunct/>
              <w:topLinePunct w:val="0"/>
              <w:autoSpaceDE/>
              <w:autoSpaceDN/>
              <w:bidi w:val="0"/>
              <w:adjustRightInd/>
              <w:snapToGrid/>
              <w:spacing w:beforeAutospacing="0" w:afterAutospacing="0" w:line="360" w:lineRule="exact"/>
              <w:ind w:left="0" w:leftChars="0" w:firstLine="0" w:firstLineChars="0"/>
              <w:jc w:val="center"/>
              <w:textAlignment w:val="auto"/>
              <w:rPr>
                <w:rFonts w:hint="default" w:ascii="黑体" w:hAnsi="黑体" w:eastAsia="黑体" w:cs="黑体"/>
                <w:sz w:val="24"/>
                <w:szCs w:val="24"/>
                <w:highlight w:val="none"/>
                <w:vertAlign w:val="baseline"/>
                <w:lang w:val="en-US" w:eastAsia="zh-CN"/>
              </w:rPr>
            </w:pPr>
            <w:r>
              <w:rPr>
                <w:rFonts w:hint="eastAsia" w:ascii="黑体" w:hAnsi="黑体" w:eastAsia="黑体" w:cs="黑体"/>
                <w:sz w:val="24"/>
                <w:szCs w:val="24"/>
                <w:highlight w:val="none"/>
                <w:vertAlign w:val="baseline"/>
                <w:lang w:val="en-US" w:eastAsia="zh-CN"/>
              </w:rPr>
              <w:t>（万元）</w:t>
            </w:r>
          </w:p>
        </w:tc>
      </w:tr>
      <w:tr w14:paraId="1D785531">
        <w:tblPrEx>
          <w:tblCellMar>
            <w:top w:w="0" w:type="dxa"/>
            <w:left w:w="57" w:type="dxa"/>
            <w:bottom w:w="0" w:type="dxa"/>
            <w:right w:w="57" w:type="dxa"/>
          </w:tblCellMar>
        </w:tblPrEx>
        <w:trPr>
          <w:trHeight w:val="1301" w:hRule="exact"/>
          <w:jc w:val="center"/>
        </w:trPr>
        <w:tc>
          <w:tcPr>
            <w:tcW w:w="674" w:type="dxa"/>
            <w:tcBorders>
              <w:top w:val="single" w:color="000000" w:sz="4" w:space="0"/>
              <w:left w:val="single" w:color="000000" w:sz="4" w:space="0"/>
              <w:bottom w:val="single" w:color="000000" w:sz="4" w:space="0"/>
              <w:right w:val="single" w:color="000000" w:sz="4" w:space="0"/>
            </w:tcBorders>
            <w:vAlign w:val="center"/>
          </w:tcPr>
          <w:p w14:paraId="364C3115">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Times New Roman" w:hAnsi="Times New Roman" w:eastAsia="仿宋_GB2312" w:cs="Times New Roman"/>
                <w:color w:val="auto"/>
                <w:sz w:val="24"/>
                <w:szCs w:val="24"/>
                <w:highlight w:val="none"/>
                <w:u w:val="none"/>
                <w:vertAlign w:val="baseline"/>
                <w:lang w:val="en-US" w:eastAsia="zh-CN"/>
              </w:rPr>
            </w:pPr>
          </w:p>
          <w:p w14:paraId="57E20B99">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Times New Roman" w:hAnsi="Times New Roman" w:eastAsia="仿宋_GB2312" w:cs="Times New Roman"/>
                <w:color w:val="auto"/>
                <w:sz w:val="24"/>
                <w:szCs w:val="24"/>
                <w:highlight w:val="none"/>
                <w:u w:val="none"/>
                <w:vertAlign w:val="baseline"/>
                <w:lang w:val="en-US" w:eastAsia="zh-CN"/>
              </w:rPr>
            </w:pPr>
            <w:r>
              <w:rPr>
                <w:rFonts w:hint="default" w:ascii="Times New Roman" w:hAnsi="Times New Roman" w:eastAsia="仿宋_GB2312" w:cs="Times New Roman"/>
                <w:color w:val="auto"/>
                <w:sz w:val="24"/>
                <w:szCs w:val="24"/>
                <w:highlight w:val="none"/>
                <w:u w:val="none"/>
                <w:vertAlign w:val="baseline"/>
                <w:lang w:val="en-US" w:eastAsia="zh-CN"/>
              </w:rPr>
              <w:t>1</w:t>
            </w:r>
          </w:p>
        </w:tc>
        <w:tc>
          <w:tcPr>
            <w:tcW w:w="726" w:type="dxa"/>
            <w:vMerge w:val="restart"/>
            <w:tcBorders>
              <w:top w:val="single" w:color="000000" w:sz="4" w:space="0"/>
              <w:left w:val="single" w:color="000000" w:sz="4" w:space="0"/>
              <w:right w:val="single" w:color="000000" w:sz="4" w:space="0"/>
            </w:tcBorders>
            <w:vAlign w:val="center"/>
          </w:tcPr>
          <w:p w14:paraId="3D65F952">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both"/>
              <w:textAlignment w:val="auto"/>
              <w:rPr>
                <w:rFonts w:hint="eastAsia" w:ascii="Times New Roman" w:hAnsi="Times New Roman" w:eastAsia="仿宋_GB2312" w:cs="Times New Roman"/>
                <w:color w:val="auto"/>
                <w:sz w:val="24"/>
                <w:szCs w:val="24"/>
                <w:highlight w:val="none"/>
                <w:u w:val="none"/>
                <w:vertAlign w:val="baseline"/>
                <w:lang w:val="en-US" w:eastAsia="zh-CN"/>
              </w:rPr>
            </w:pPr>
          </w:p>
          <w:p w14:paraId="4F03B107">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both"/>
              <w:textAlignment w:val="auto"/>
              <w:rPr>
                <w:rFonts w:hint="eastAsia" w:ascii="Times New Roman" w:hAnsi="Times New Roman" w:eastAsia="仿宋_GB2312" w:cs="Times New Roman"/>
                <w:color w:val="auto"/>
                <w:sz w:val="24"/>
                <w:szCs w:val="24"/>
                <w:highlight w:val="none"/>
                <w:u w:val="none"/>
                <w:vertAlign w:val="baseline"/>
                <w:lang w:val="en-US" w:eastAsia="zh-CN"/>
              </w:rPr>
            </w:pPr>
          </w:p>
          <w:p w14:paraId="4DEB81B7">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Times New Roman" w:hAnsi="Times New Roman" w:eastAsia="仿宋_GB2312" w:cs="Times New Roman"/>
                <w:color w:val="auto"/>
                <w:sz w:val="24"/>
                <w:szCs w:val="24"/>
                <w:highlight w:val="none"/>
                <w:u w:val="none"/>
                <w:vertAlign w:val="baseline"/>
                <w:lang w:val="en-US" w:eastAsia="zh-CN"/>
              </w:rPr>
            </w:pPr>
            <w:r>
              <w:rPr>
                <w:rFonts w:hint="eastAsia" w:ascii="Times New Roman" w:hAnsi="Times New Roman" w:eastAsia="仿宋_GB2312" w:cs="Times New Roman"/>
                <w:color w:val="auto"/>
                <w:sz w:val="24"/>
                <w:szCs w:val="24"/>
                <w:highlight w:val="none"/>
                <w:u w:val="none"/>
                <w:vertAlign w:val="baseline"/>
                <w:lang w:val="en-US" w:eastAsia="zh-CN"/>
              </w:rPr>
              <w:t>收集设施</w:t>
            </w:r>
          </w:p>
        </w:tc>
        <w:tc>
          <w:tcPr>
            <w:tcW w:w="1385" w:type="dxa"/>
            <w:tcBorders>
              <w:top w:val="single" w:color="000000" w:sz="4" w:space="0"/>
              <w:left w:val="single" w:color="000000" w:sz="4" w:space="0"/>
              <w:bottom w:val="single" w:color="000000" w:sz="4" w:space="0"/>
              <w:right w:val="single" w:color="000000" w:sz="4" w:space="0"/>
            </w:tcBorders>
            <w:vAlign w:val="center"/>
          </w:tcPr>
          <w:p w14:paraId="53341F92">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both"/>
              <w:textAlignment w:val="auto"/>
              <w:rPr>
                <w:rFonts w:hint="eastAsia" w:ascii="Times New Roman" w:hAnsi="Times New Roman" w:eastAsia="仿宋_GB2312" w:cs="Times New Roman"/>
                <w:color w:val="auto"/>
                <w:sz w:val="24"/>
                <w:szCs w:val="24"/>
                <w:highlight w:val="none"/>
                <w:u w:val="none"/>
                <w:vertAlign w:val="baseline"/>
                <w:lang w:val="en-US" w:eastAsia="zh-CN"/>
              </w:rPr>
            </w:pPr>
            <w:r>
              <w:rPr>
                <w:rFonts w:hint="eastAsia" w:ascii="Times New Roman" w:hAnsi="Times New Roman" w:eastAsia="仿宋_GB2312" w:cs="Times New Roman"/>
                <w:color w:val="auto"/>
                <w:sz w:val="24"/>
                <w:szCs w:val="24"/>
                <w:highlight w:val="none"/>
                <w:u w:val="none"/>
                <w:vertAlign w:val="baseline"/>
                <w:lang w:val="en-US" w:eastAsia="zh-CN"/>
              </w:rPr>
              <w:t>装修垃圾集中投放点</w:t>
            </w:r>
          </w:p>
        </w:tc>
        <w:tc>
          <w:tcPr>
            <w:tcW w:w="3738" w:type="dxa"/>
            <w:tcBorders>
              <w:top w:val="single" w:color="000000" w:sz="4" w:space="0"/>
              <w:left w:val="single" w:color="000000" w:sz="4" w:space="0"/>
              <w:bottom w:val="single" w:color="000000" w:sz="4" w:space="0"/>
              <w:right w:val="single" w:color="000000" w:sz="4" w:space="0"/>
            </w:tcBorders>
            <w:vAlign w:val="center"/>
          </w:tcPr>
          <w:p w14:paraId="08D7BF62">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both"/>
              <w:textAlignment w:val="auto"/>
              <w:rPr>
                <w:rFonts w:hint="eastAsia" w:ascii="Times New Roman" w:hAnsi="Times New Roman" w:eastAsia="仿宋_GB2312" w:cs="Times New Roman"/>
                <w:color w:val="auto"/>
                <w:sz w:val="24"/>
                <w:szCs w:val="24"/>
                <w:highlight w:val="none"/>
                <w:u w:val="none"/>
                <w:vertAlign w:val="baseline"/>
                <w:lang w:val="en-US" w:eastAsia="zh-CN"/>
              </w:rPr>
            </w:pPr>
            <w:r>
              <w:rPr>
                <w:rFonts w:hint="eastAsia" w:ascii="Times New Roman" w:hAnsi="Times New Roman" w:eastAsia="仿宋_GB2312" w:cs="Times New Roman"/>
                <w:color w:val="auto"/>
                <w:sz w:val="24"/>
                <w:szCs w:val="24"/>
                <w:highlight w:val="none"/>
                <w:u w:val="none"/>
                <w:vertAlign w:val="baseline"/>
                <w:lang w:val="en-US" w:eastAsia="zh-CN"/>
              </w:rPr>
              <w:t>每个新建住宅小区应至少设置</w:t>
            </w:r>
            <w:r>
              <w:rPr>
                <w:rFonts w:hint="default" w:ascii="Times New Roman" w:hAnsi="Times New Roman" w:eastAsia="仿宋_GB2312" w:cs="Times New Roman"/>
                <w:color w:val="auto"/>
                <w:sz w:val="24"/>
                <w:szCs w:val="24"/>
                <w:highlight w:val="none"/>
                <w:u w:val="none"/>
                <w:vertAlign w:val="baseline"/>
                <w:lang w:val="en-US" w:eastAsia="zh-CN"/>
              </w:rPr>
              <w:t>1</w:t>
            </w:r>
            <w:r>
              <w:rPr>
                <w:rFonts w:hint="eastAsia" w:ascii="Times New Roman" w:hAnsi="Times New Roman" w:eastAsia="仿宋_GB2312" w:cs="Times New Roman"/>
                <w:color w:val="auto"/>
                <w:sz w:val="24"/>
                <w:szCs w:val="24"/>
                <w:highlight w:val="none"/>
                <w:u w:val="none"/>
                <w:vertAlign w:val="baseline"/>
                <w:lang w:val="en-US" w:eastAsia="zh-CN"/>
              </w:rPr>
              <w:t xml:space="preserve"> 处装修垃圾投放点，已建小区和村庄根据实际情况单独建设或合建</w:t>
            </w:r>
          </w:p>
        </w:tc>
        <w:tc>
          <w:tcPr>
            <w:tcW w:w="1899" w:type="dxa"/>
            <w:tcBorders>
              <w:top w:val="single" w:color="000000" w:sz="4" w:space="0"/>
              <w:left w:val="single" w:color="000000" w:sz="4" w:space="0"/>
              <w:bottom w:val="single" w:color="000000" w:sz="4" w:space="0"/>
              <w:right w:val="single" w:color="000000" w:sz="4" w:space="0"/>
            </w:tcBorders>
            <w:vAlign w:val="center"/>
          </w:tcPr>
          <w:p w14:paraId="693466A6">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Times New Roman" w:hAnsi="Times New Roman" w:eastAsia="仿宋_GB2312" w:cs="Times New Roman"/>
                <w:color w:val="auto"/>
                <w:sz w:val="24"/>
                <w:szCs w:val="24"/>
                <w:highlight w:val="none"/>
                <w:u w:val="none"/>
                <w:vertAlign w:val="baseline"/>
                <w:lang w:val="en-US" w:eastAsia="zh-CN"/>
              </w:rPr>
            </w:pPr>
            <w:r>
              <w:rPr>
                <w:rFonts w:hint="eastAsia" w:ascii="Times New Roman" w:hAnsi="Times New Roman" w:eastAsia="仿宋_GB2312" w:cs="Times New Roman"/>
                <w:color w:val="auto"/>
                <w:sz w:val="24"/>
                <w:szCs w:val="24"/>
                <w:highlight w:val="none"/>
                <w:u w:val="none"/>
                <w:vertAlign w:val="baseline"/>
                <w:lang w:val="en-US" w:eastAsia="zh-CN"/>
              </w:rPr>
              <w:t>近期</w:t>
            </w:r>
          </w:p>
          <w:p w14:paraId="3EC2F509">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Times New Roman" w:hAnsi="Times New Roman" w:eastAsia="仿宋_GB2312" w:cs="Times New Roman"/>
                <w:color w:val="auto"/>
                <w:sz w:val="24"/>
                <w:szCs w:val="24"/>
                <w:highlight w:val="none"/>
                <w:u w:val="none"/>
                <w:vertAlign w:val="baseline"/>
                <w:lang w:val="en-US" w:eastAsia="zh-CN"/>
              </w:rPr>
            </w:pPr>
            <w:r>
              <w:rPr>
                <w:rFonts w:hint="eastAsia" w:ascii="Times New Roman" w:hAnsi="Times New Roman" w:eastAsia="仿宋_GB2312" w:cs="Times New Roman"/>
                <w:color w:val="auto"/>
                <w:sz w:val="24"/>
                <w:szCs w:val="24"/>
                <w:highlight w:val="none"/>
                <w:u w:val="none"/>
                <w:vertAlign w:val="baseline"/>
                <w:lang w:val="en-US" w:eastAsia="zh-CN"/>
              </w:rPr>
              <w:t>(</w:t>
            </w:r>
            <w:r>
              <w:rPr>
                <w:rFonts w:hint="default" w:ascii="Times New Roman" w:hAnsi="Times New Roman" w:eastAsia="仿宋_GB2312" w:cs="Times New Roman"/>
                <w:color w:val="auto"/>
                <w:sz w:val="24"/>
                <w:szCs w:val="24"/>
                <w:highlight w:val="none"/>
                <w:u w:val="none"/>
                <w:vertAlign w:val="baseline"/>
                <w:lang w:val="en-US" w:eastAsia="zh-CN"/>
              </w:rPr>
              <w:t>2024</w:t>
            </w:r>
            <w:r>
              <w:rPr>
                <w:rFonts w:hint="eastAsia" w:eastAsia="仿宋_GB2312" w:cs="Times New Roman"/>
                <w:color w:val="auto"/>
                <w:sz w:val="24"/>
                <w:szCs w:val="24"/>
                <w:highlight w:val="none"/>
                <w:u w:val="none"/>
                <w:vertAlign w:val="baseline"/>
                <w:lang w:val="en-US" w:eastAsia="zh-CN"/>
              </w:rPr>
              <w:t>—</w:t>
            </w:r>
            <w:r>
              <w:rPr>
                <w:rFonts w:hint="default" w:ascii="Times New Roman" w:hAnsi="Times New Roman" w:eastAsia="仿宋_GB2312" w:cs="Times New Roman"/>
                <w:color w:val="auto"/>
                <w:sz w:val="24"/>
                <w:szCs w:val="24"/>
                <w:highlight w:val="none"/>
                <w:u w:val="none"/>
                <w:vertAlign w:val="baseline"/>
                <w:lang w:val="en-US" w:eastAsia="zh-CN"/>
              </w:rPr>
              <w:t>2030</w:t>
            </w:r>
            <w:r>
              <w:rPr>
                <w:rFonts w:hint="eastAsia" w:ascii="Times New Roman" w:hAnsi="Times New Roman" w:eastAsia="仿宋_GB2312" w:cs="Times New Roman"/>
                <w:color w:val="auto"/>
                <w:sz w:val="24"/>
                <w:szCs w:val="24"/>
                <w:highlight w:val="none"/>
                <w:u w:val="none"/>
                <w:vertAlign w:val="baseline"/>
                <w:lang w:val="en-US" w:eastAsia="zh-CN"/>
              </w:rPr>
              <w:t>年）</w:t>
            </w:r>
          </w:p>
        </w:tc>
        <w:tc>
          <w:tcPr>
            <w:tcW w:w="1258" w:type="dxa"/>
            <w:tcBorders>
              <w:top w:val="single" w:color="000000" w:sz="4" w:space="0"/>
              <w:left w:val="single" w:color="000000" w:sz="4" w:space="0"/>
              <w:bottom w:val="single" w:color="000000" w:sz="4" w:space="0"/>
              <w:right w:val="single" w:color="000000" w:sz="4" w:space="0"/>
            </w:tcBorders>
            <w:vAlign w:val="center"/>
          </w:tcPr>
          <w:p w14:paraId="37D086D8">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Times New Roman" w:hAnsi="Times New Roman" w:eastAsia="仿宋_GB2312" w:cs="Times New Roman"/>
                <w:color w:val="auto"/>
                <w:sz w:val="24"/>
                <w:szCs w:val="24"/>
                <w:highlight w:val="none"/>
                <w:u w:val="none"/>
                <w:vertAlign w:val="baseline"/>
                <w:lang w:val="en-US" w:eastAsia="zh-CN"/>
              </w:rPr>
            </w:pPr>
            <w:r>
              <w:rPr>
                <w:rFonts w:hint="default" w:ascii="Times New Roman" w:hAnsi="Times New Roman" w:eastAsia="仿宋_GB2312" w:cs="Times New Roman"/>
                <w:color w:val="auto"/>
                <w:sz w:val="24"/>
                <w:szCs w:val="24"/>
                <w:highlight w:val="none"/>
                <w:u w:val="none"/>
                <w:vertAlign w:val="baseline"/>
                <w:lang w:val="en-US" w:eastAsia="zh-CN"/>
              </w:rPr>
              <w:t>200</w:t>
            </w:r>
          </w:p>
        </w:tc>
      </w:tr>
      <w:tr w14:paraId="499FA3CA">
        <w:tblPrEx>
          <w:tblCellMar>
            <w:top w:w="0" w:type="dxa"/>
            <w:left w:w="57" w:type="dxa"/>
            <w:bottom w:w="0" w:type="dxa"/>
            <w:right w:w="57" w:type="dxa"/>
          </w:tblCellMar>
        </w:tblPrEx>
        <w:trPr>
          <w:trHeight w:val="988" w:hRule="exact"/>
          <w:jc w:val="center"/>
        </w:trPr>
        <w:tc>
          <w:tcPr>
            <w:tcW w:w="674" w:type="dxa"/>
            <w:tcBorders>
              <w:top w:val="single" w:color="000000" w:sz="4" w:space="0"/>
              <w:left w:val="single" w:color="000000" w:sz="4" w:space="0"/>
              <w:bottom w:val="single" w:color="000000" w:sz="4" w:space="0"/>
              <w:right w:val="single" w:color="000000" w:sz="4" w:space="0"/>
            </w:tcBorders>
            <w:vAlign w:val="center"/>
          </w:tcPr>
          <w:p w14:paraId="2C9D52DD">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Times New Roman" w:hAnsi="Times New Roman" w:eastAsia="仿宋_GB2312" w:cs="Times New Roman"/>
                <w:color w:val="auto"/>
                <w:sz w:val="24"/>
                <w:szCs w:val="24"/>
                <w:highlight w:val="none"/>
                <w:u w:val="none"/>
                <w:vertAlign w:val="baseline"/>
                <w:lang w:val="en-US" w:eastAsia="zh-CN"/>
              </w:rPr>
            </w:pPr>
            <w:r>
              <w:rPr>
                <w:rFonts w:hint="default" w:ascii="Times New Roman" w:hAnsi="Times New Roman" w:eastAsia="仿宋_GB2312" w:cs="Times New Roman"/>
                <w:color w:val="auto"/>
                <w:sz w:val="24"/>
                <w:szCs w:val="24"/>
                <w:highlight w:val="none"/>
                <w:u w:val="none"/>
                <w:vertAlign w:val="baseline"/>
                <w:lang w:val="en-US" w:eastAsia="zh-CN"/>
              </w:rPr>
              <w:t>2</w:t>
            </w:r>
          </w:p>
        </w:tc>
        <w:tc>
          <w:tcPr>
            <w:tcW w:w="726" w:type="dxa"/>
            <w:vMerge w:val="continue"/>
            <w:tcBorders>
              <w:left w:val="single" w:color="000000" w:sz="4" w:space="0"/>
              <w:bottom w:val="single" w:color="000000" w:sz="4" w:space="0"/>
              <w:right w:val="single" w:color="000000" w:sz="4" w:space="0"/>
            </w:tcBorders>
            <w:vAlign w:val="center"/>
          </w:tcPr>
          <w:p w14:paraId="204B8E42">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both"/>
              <w:textAlignment w:val="auto"/>
              <w:rPr>
                <w:rFonts w:hint="eastAsia" w:ascii="Times New Roman" w:hAnsi="Times New Roman" w:eastAsia="仿宋_GB2312" w:cs="Times New Roman"/>
                <w:color w:val="auto"/>
                <w:sz w:val="24"/>
                <w:szCs w:val="24"/>
                <w:highlight w:val="none"/>
                <w:u w:val="none"/>
                <w:vertAlign w:val="baseline"/>
                <w:lang w:val="en-US" w:eastAsia="zh-CN"/>
              </w:rPr>
            </w:pPr>
          </w:p>
        </w:tc>
        <w:tc>
          <w:tcPr>
            <w:tcW w:w="1385" w:type="dxa"/>
            <w:tcBorders>
              <w:top w:val="single" w:color="000000" w:sz="4" w:space="0"/>
              <w:left w:val="single" w:color="000000" w:sz="4" w:space="0"/>
              <w:bottom w:val="single" w:color="000000" w:sz="4" w:space="0"/>
              <w:right w:val="single" w:color="000000" w:sz="4" w:space="0"/>
            </w:tcBorders>
            <w:vAlign w:val="center"/>
          </w:tcPr>
          <w:p w14:paraId="735783DF">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both"/>
              <w:textAlignment w:val="auto"/>
              <w:rPr>
                <w:rFonts w:hint="eastAsia" w:ascii="Times New Roman" w:hAnsi="Times New Roman" w:eastAsia="仿宋_GB2312" w:cs="Times New Roman"/>
                <w:color w:val="auto"/>
                <w:sz w:val="24"/>
                <w:szCs w:val="24"/>
                <w:highlight w:val="none"/>
                <w:u w:val="none"/>
                <w:vertAlign w:val="baseline"/>
                <w:lang w:val="en-US" w:eastAsia="zh-CN"/>
              </w:rPr>
            </w:pPr>
            <w:r>
              <w:rPr>
                <w:rFonts w:hint="eastAsia" w:ascii="Times New Roman" w:hAnsi="Times New Roman" w:eastAsia="仿宋_GB2312" w:cs="Times New Roman"/>
                <w:color w:val="auto"/>
                <w:sz w:val="24"/>
                <w:szCs w:val="24"/>
                <w:highlight w:val="none"/>
                <w:u w:val="none"/>
                <w:vertAlign w:val="baseline"/>
                <w:lang w:val="en-US" w:eastAsia="zh-CN"/>
              </w:rPr>
              <w:t>建筑垃圾临时收集点</w:t>
            </w:r>
          </w:p>
        </w:tc>
        <w:tc>
          <w:tcPr>
            <w:tcW w:w="3738" w:type="dxa"/>
            <w:tcBorders>
              <w:top w:val="single" w:color="000000" w:sz="4" w:space="0"/>
              <w:left w:val="single" w:color="000000" w:sz="4" w:space="0"/>
              <w:bottom w:val="single" w:color="000000" w:sz="4" w:space="0"/>
              <w:right w:val="single" w:color="000000" w:sz="4" w:space="0"/>
            </w:tcBorders>
            <w:vAlign w:val="center"/>
          </w:tcPr>
          <w:p w14:paraId="43F8573A">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both"/>
              <w:textAlignment w:val="auto"/>
              <w:rPr>
                <w:rFonts w:hint="eastAsia" w:ascii="Times New Roman" w:hAnsi="Times New Roman" w:eastAsia="仿宋_GB2312" w:cs="Times New Roman"/>
                <w:color w:val="auto"/>
                <w:sz w:val="24"/>
                <w:szCs w:val="24"/>
                <w:highlight w:val="none"/>
                <w:u w:val="none"/>
                <w:vertAlign w:val="baseline"/>
                <w:lang w:val="en-US" w:eastAsia="zh-CN"/>
              </w:rPr>
            </w:pPr>
            <w:r>
              <w:rPr>
                <w:rFonts w:hint="eastAsia" w:ascii="Times New Roman" w:hAnsi="Times New Roman" w:eastAsia="仿宋_GB2312" w:cs="Times New Roman"/>
                <w:color w:val="auto"/>
                <w:sz w:val="24"/>
                <w:szCs w:val="24"/>
                <w:highlight w:val="none"/>
                <w:u w:val="none"/>
                <w:vertAlign w:val="baseline"/>
                <w:lang w:val="en-US" w:eastAsia="zh-CN"/>
              </w:rPr>
              <w:t>每个建筑工地都应当在其作业区建设建筑垃圾临时收集点</w:t>
            </w:r>
          </w:p>
        </w:tc>
        <w:tc>
          <w:tcPr>
            <w:tcW w:w="1899" w:type="dxa"/>
            <w:tcBorders>
              <w:top w:val="single" w:color="000000" w:sz="4" w:space="0"/>
              <w:left w:val="single" w:color="000000" w:sz="4" w:space="0"/>
              <w:bottom w:val="single" w:color="000000" w:sz="4" w:space="0"/>
              <w:right w:val="single" w:color="000000" w:sz="4" w:space="0"/>
            </w:tcBorders>
            <w:vAlign w:val="center"/>
          </w:tcPr>
          <w:p w14:paraId="7A041371">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Times New Roman" w:hAnsi="Times New Roman" w:eastAsia="仿宋_GB2312" w:cs="Times New Roman"/>
                <w:color w:val="auto"/>
                <w:sz w:val="24"/>
                <w:szCs w:val="24"/>
                <w:highlight w:val="none"/>
                <w:u w:val="none"/>
                <w:vertAlign w:val="baseline"/>
                <w:lang w:val="en-US" w:eastAsia="zh-CN"/>
              </w:rPr>
            </w:pPr>
            <w:r>
              <w:rPr>
                <w:rFonts w:hint="eastAsia" w:ascii="Times New Roman" w:hAnsi="Times New Roman" w:eastAsia="仿宋_GB2312" w:cs="Times New Roman"/>
                <w:color w:val="auto"/>
                <w:sz w:val="24"/>
                <w:szCs w:val="24"/>
                <w:highlight w:val="none"/>
                <w:u w:val="none"/>
                <w:vertAlign w:val="baseline"/>
                <w:lang w:val="en-US" w:eastAsia="zh-CN"/>
              </w:rPr>
              <w:t>近期</w:t>
            </w:r>
          </w:p>
          <w:p w14:paraId="63A9FC36">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Times New Roman" w:hAnsi="Times New Roman" w:eastAsia="仿宋_GB2312" w:cs="Times New Roman"/>
                <w:color w:val="auto"/>
                <w:sz w:val="24"/>
                <w:szCs w:val="24"/>
                <w:highlight w:val="none"/>
                <w:u w:val="none"/>
                <w:vertAlign w:val="baseline"/>
                <w:lang w:val="en-US" w:eastAsia="zh-CN"/>
              </w:rPr>
            </w:pPr>
            <w:r>
              <w:rPr>
                <w:rFonts w:hint="eastAsia" w:ascii="Times New Roman" w:hAnsi="Times New Roman" w:eastAsia="仿宋_GB2312" w:cs="Times New Roman"/>
                <w:color w:val="auto"/>
                <w:sz w:val="24"/>
                <w:szCs w:val="24"/>
                <w:highlight w:val="none"/>
                <w:u w:val="none"/>
                <w:vertAlign w:val="baseline"/>
                <w:lang w:val="en-US" w:eastAsia="zh-CN"/>
              </w:rPr>
              <w:t>(</w:t>
            </w:r>
            <w:r>
              <w:rPr>
                <w:rFonts w:hint="default" w:ascii="Times New Roman" w:hAnsi="Times New Roman" w:eastAsia="仿宋_GB2312" w:cs="Times New Roman"/>
                <w:color w:val="auto"/>
                <w:sz w:val="24"/>
                <w:szCs w:val="24"/>
                <w:highlight w:val="none"/>
                <w:u w:val="none"/>
                <w:vertAlign w:val="baseline"/>
                <w:lang w:val="en-US" w:eastAsia="zh-CN"/>
              </w:rPr>
              <w:t>2024</w:t>
            </w:r>
            <w:r>
              <w:rPr>
                <w:rFonts w:hint="eastAsia" w:eastAsia="仿宋_GB2312" w:cs="Times New Roman"/>
                <w:color w:val="auto"/>
                <w:sz w:val="24"/>
                <w:szCs w:val="24"/>
                <w:highlight w:val="none"/>
                <w:u w:val="none"/>
                <w:vertAlign w:val="baseline"/>
                <w:lang w:val="en-US" w:eastAsia="zh-CN"/>
              </w:rPr>
              <w:t>—</w:t>
            </w:r>
            <w:r>
              <w:rPr>
                <w:rFonts w:hint="default" w:ascii="Times New Roman" w:hAnsi="Times New Roman" w:eastAsia="仿宋_GB2312" w:cs="Times New Roman"/>
                <w:color w:val="auto"/>
                <w:sz w:val="24"/>
                <w:szCs w:val="24"/>
                <w:highlight w:val="none"/>
                <w:u w:val="none"/>
                <w:vertAlign w:val="baseline"/>
                <w:lang w:val="en-US" w:eastAsia="zh-CN"/>
              </w:rPr>
              <w:t>2030</w:t>
            </w:r>
            <w:r>
              <w:rPr>
                <w:rFonts w:hint="eastAsia" w:ascii="Times New Roman" w:hAnsi="Times New Roman" w:eastAsia="仿宋_GB2312" w:cs="Times New Roman"/>
                <w:color w:val="auto"/>
                <w:sz w:val="24"/>
                <w:szCs w:val="24"/>
                <w:highlight w:val="none"/>
                <w:u w:val="none"/>
                <w:vertAlign w:val="baseline"/>
                <w:lang w:val="en-US" w:eastAsia="zh-CN"/>
              </w:rPr>
              <w:t>年）</w:t>
            </w:r>
          </w:p>
        </w:tc>
        <w:tc>
          <w:tcPr>
            <w:tcW w:w="1258" w:type="dxa"/>
            <w:tcBorders>
              <w:top w:val="single" w:color="000000" w:sz="4" w:space="0"/>
              <w:left w:val="single" w:color="000000" w:sz="4" w:space="0"/>
              <w:bottom w:val="single" w:color="000000" w:sz="4" w:space="0"/>
              <w:right w:val="single" w:color="000000" w:sz="4" w:space="0"/>
            </w:tcBorders>
            <w:vAlign w:val="center"/>
          </w:tcPr>
          <w:p w14:paraId="0BB8FE1E">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both"/>
              <w:textAlignment w:val="auto"/>
              <w:rPr>
                <w:rFonts w:hint="default" w:ascii="Times New Roman" w:hAnsi="Times New Roman" w:eastAsia="仿宋_GB2312" w:cs="Times New Roman"/>
                <w:color w:val="auto"/>
                <w:sz w:val="24"/>
                <w:szCs w:val="24"/>
                <w:highlight w:val="none"/>
                <w:u w:val="none"/>
                <w:vertAlign w:val="baseline"/>
                <w:lang w:val="en-US" w:eastAsia="zh-CN"/>
              </w:rPr>
            </w:pPr>
            <w:r>
              <w:rPr>
                <w:rFonts w:hint="eastAsia" w:ascii="Times New Roman" w:hAnsi="Times New Roman" w:eastAsia="仿宋_GB2312" w:cs="Times New Roman"/>
                <w:color w:val="auto"/>
                <w:sz w:val="24"/>
                <w:szCs w:val="24"/>
                <w:highlight w:val="none"/>
                <w:u w:val="none"/>
                <w:vertAlign w:val="baseline"/>
                <w:lang w:val="en-US" w:eastAsia="zh-CN"/>
              </w:rPr>
              <w:t>纳入建筑工地投资</w:t>
            </w:r>
          </w:p>
        </w:tc>
      </w:tr>
      <w:tr w14:paraId="4318DA34">
        <w:tblPrEx>
          <w:tblCellMar>
            <w:top w:w="0" w:type="dxa"/>
            <w:left w:w="57" w:type="dxa"/>
            <w:bottom w:w="0" w:type="dxa"/>
            <w:right w:w="57" w:type="dxa"/>
          </w:tblCellMar>
        </w:tblPrEx>
        <w:trPr>
          <w:trHeight w:val="1615" w:hRule="exact"/>
          <w:jc w:val="center"/>
        </w:trPr>
        <w:tc>
          <w:tcPr>
            <w:tcW w:w="674" w:type="dxa"/>
            <w:tcBorders>
              <w:top w:val="single" w:color="000000" w:sz="4" w:space="0"/>
              <w:left w:val="single" w:color="000000" w:sz="4" w:space="0"/>
              <w:bottom w:val="single" w:color="000000" w:sz="4" w:space="0"/>
              <w:right w:val="single" w:color="000000" w:sz="4" w:space="0"/>
            </w:tcBorders>
            <w:vAlign w:val="center"/>
          </w:tcPr>
          <w:p w14:paraId="0A280267">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Times New Roman" w:hAnsi="Times New Roman" w:eastAsia="仿宋_GB2312" w:cs="Times New Roman"/>
                <w:color w:val="auto"/>
                <w:sz w:val="24"/>
                <w:szCs w:val="24"/>
                <w:highlight w:val="none"/>
                <w:u w:val="none"/>
                <w:vertAlign w:val="baseline"/>
                <w:lang w:val="en-US" w:eastAsia="zh-CN"/>
              </w:rPr>
            </w:pPr>
            <w:r>
              <w:rPr>
                <w:rFonts w:hint="default" w:ascii="Times New Roman" w:hAnsi="Times New Roman" w:eastAsia="仿宋_GB2312" w:cs="Times New Roman"/>
                <w:color w:val="auto"/>
                <w:sz w:val="24"/>
                <w:szCs w:val="24"/>
                <w:highlight w:val="none"/>
                <w:u w:val="none"/>
                <w:vertAlign w:val="baseline"/>
                <w:lang w:val="en-US" w:eastAsia="zh-CN"/>
              </w:rPr>
              <w:t>3</w:t>
            </w:r>
          </w:p>
        </w:tc>
        <w:tc>
          <w:tcPr>
            <w:tcW w:w="2111" w:type="dxa"/>
            <w:gridSpan w:val="2"/>
            <w:tcBorders>
              <w:left w:val="single" w:color="000000" w:sz="4" w:space="0"/>
              <w:bottom w:val="single" w:color="000000" w:sz="4" w:space="0"/>
              <w:right w:val="single" w:color="000000" w:sz="4" w:space="0"/>
            </w:tcBorders>
            <w:vAlign w:val="center"/>
          </w:tcPr>
          <w:p w14:paraId="3C3948CC">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both"/>
              <w:textAlignment w:val="auto"/>
              <w:rPr>
                <w:rFonts w:hint="eastAsia" w:ascii="Times New Roman" w:hAnsi="Times New Roman" w:eastAsia="仿宋_GB2312" w:cs="Times New Roman"/>
                <w:color w:val="auto"/>
                <w:sz w:val="24"/>
                <w:szCs w:val="24"/>
                <w:highlight w:val="none"/>
                <w:u w:val="none"/>
                <w:vertAlign w:val="baseline"/>
                <w:lang w:val="en-US" w:eastAsia="zh-CN"/>
              </w:rPr>
            </w:pPr>
            <w:r>
              <w:rPr>
                <w:rFonts w:hint="eastAsia" w:ascii="Times New Roman" w:hAnsi="Times New Roman" w:eastAsia="仿宋_GB2312" w:cs="Times New Roman"/>
                <w:color w:val="auto"/>
                <w:sz w:val="24"/>
                <w:szCs w:val="24"/>
                <w:highlight w:val="none"/>
                <w:u w:val="none"/>
                <w:vertAlign w:val="baseline"/>
                <w:lang w:val="en-US" w:eastAsia="zh-CN"/>
              </w:rPr>
              <w:t>融安县建筑垃圾消纳场</w:t>
            </w:r>
          </w:p>
        </w:tc>
        <w:tc>
          <w:tcPr>
            <w:tcW w:w="3738" w:type="dxa"/>
            <w:tcBorders>
              <w:top w:val="single" w:color="000000" w:sz="4" w:space="0"/>
              <w:left w:val="single" w:color="000000" w:sz="4" w:space="0"/>
              <w:bottom w:val="single" w:color="000000" w:sz="4" w:space="0"/>
              <w:right w:val="single" w:color="000000" w:sz="4" w:space="0"/>
            </w:tcBorders>
            <w:vAlign w:val="center"/>
          </w:tcPr>
          <w:p w14:paraId="227FC7E6">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both"/>
              <w:textAlignment w:val="auto"/>
              <w:rPr>
                <w:rFonts w:hint="eastAsia" w:ascii="Times New Roman" w:hAnsi="Times New Roman" w:eastAsia="仿宋_GB2312" w:cs="Times New Roman"/>
                <w:color w:val="auto"/>
                <w:sz w:val="24"/>
                <w:szCs w:val="24"/>
                <w:highlight w:val="none"/>
                <w:u w:val="none"/>
                <w:vertAlign w:val="baseline"/>
                <w:lang w:val="en-US" w:eastAsia="zh-CN"/>
              </w:rPr>
            </w:pPr>
            <w:r>
              <w:rPr>
                <w:rFonts w:hint="eastAsia" w:ascii="Times New Roman" w:hAnsi="Times New Roman" w:eastAsia="仿宋_GB2312" w:cs="Times New Roman"/>
                <w:color w:val="auto"/>
                <w:sz w:val="24"/>
                <w:szCs w:val="24"/>
                <w:highlight w:val="none"/>
                <w:u w:val="none"/>
                <w:vertAlign w:val="baseline"/>
                <w:lang w:val="en-US" w:eastAsia="zh-CN"/>
              </w:rPr>
              <w:t>建设一座占地面积</w:t>
            </w:r>
            <w:r>
              <w:rPr>
                <w:rFonts w:hint="default" w:ascii="Times New Roman" w:hAnsi="Times New Roman" w:eastAsia="仿宋_GB2312" w:cs="Times New Roman"/>
                <w:color w:val="auto"/>
                <w:sz w:val="24"/>
                <w:szCs w:val="24"/>
                <w:highlight w:val="none"/>
                <w:u w:val="none"/>
                <w:vertAlign w:val="baseline"/>
                <w:lang w:val="en-US" w:eastAsia="zh-CN"/>
              </w:rPr>
              <w:t>280</w:t>
            </w:r>
            <w:r>
              <w:rPr>
                <w:rFonts w:hint="eastAsia" w:ascii="Times New Roman" w:hAnsi="Times New Roman" w:eastAsia="仿宋_GB2312" w:cs="Times New Roman"/>
                <w:color w:val="auto"/>
                <w:sz w:val="24"/>
                <w:szCs w:val="24"/>
                <w:highlight w:val="none"/>
                <w:u w:val="none"/>
                <w:vertAlign w:val="baseline"/>
                <w:lang w:val="en-US" w:eastAsia="zh-CN"/>
              </w:rPr>
              <w:t>亩，处理总量约</w:t>
            </w:r>
            <w:r>
              <w:rPr>
                <w:rFonts w:hint="default" w:ascii="Times New Roman" w:hAnsi="Times New Roman" w:eastAsia="仿宋_GB2312" w:cs="Times New Roman"/>
                <w:color w:val="auto"/>
                <w:sz w:val="24"/>
                <w:szCs w:val="24"/>
                <w:highlight w:val="none"/>
                <w:u w:val="none"/>
                <w:vertAlign w:val="baseline"/>
                <w:lang w:val="en-US" w:eastAsia="zh-CN"/>
              </w:rPr>
              <w:t>500</w:t>
            </w:r>
            <w:r>
              <w:rPr>
                <w:rFonts w:hint="eastAsia" w:ascii="Times New Roman" w:hAnsi="Times New Roman" w:eastAsia="仿宋_GB2312" w:cs="Times New Roman"/>
                <w:color w:val="auto"/>
                <w:sz w:val="24"/>
                <w:szCs w:val="24"/>
                <w:highlight w:val="none"/>
                <w:u w:val="none"/>
                <w:vertAlign w:val="baseline"/>
                <w:lang w:val="en-US" w:eastAsia="zh-CN"/>
              </w:rPr>
              <w:t>万方的建筑垃圾消纳场，项目一期用地</w:t>
            </w:r>
            <w:r>
              <w:rPr>
                <w:rFonts w:hint="default" w:ascii="Times New Roman" w:hAnsi="Times New Roman" w:eastAsia="仿宋_GB2312" w:cs="Times New Roman"/>
                <w:color w:val="auto"/>
                <w:sz w:val="24"/>
                <w:szCs w:val="24"/>
                <w:highlight w:val="none"/>
                <w:u w:val="none"/>
                <w:vertAlign w:val="baseline"/>
                <w:lang w:val="en-US" w:eastAsia="zh-CN"/>
              </w:rPr>
              <w:t>50</w:t>
            </w:r>
            <w:r>
              <w:rPr>
                <w:rFonts w:hint="eastAsia" w:ascii="Times New Roman" w:hAnsi="Times New Roman" w:eastAsia="仿宋_GB2312" w:cs="Times New Roman"/>
                <w:color w:val="auto"/>
                <w:sz w:val="24"/>
                <w:szCs w:val="24"/>
                <w:highlight w:val="none"/>
                <w:u w:val="none"/>
                <w:vertAlign w:val="baseline"/>
                <w:lang w:val="en-US" w:eastAsia="zh-CN"/>
              </w:rPr>
              <w:t>亩</w:t>
            </w:r>
            <w:r>
              <w:rPr>
                <w:rFonts w:hint="eastAsia" w:eastAsia="仿宋_GB2312" w:cs="Times New Roman"/>
                <w:color w:val="auto"/>
                <w:sz w:val="24"/>
                <w:szCs w:val="24"/>
                <w:highlight w:val="none"/>
                <w:u w:val="none"/>
                <w:vertAlign w:val="baseline"/>
                <w:lang w:val="en-US" w:eastAsia="zh-CN"/>
              </w:rPr>
              <w:t>、</w:t>
            </w:r>
            <w:r>
              <w:rPr>
                <w:rFonts w:hint="eastAsia" w:ascii="Times New Roman" w:hAnsi="Times New Roman" w:eastAsia="仿宋_GB2312" w:cs="Times New Roman"/>
                <w:color w:val="auto"/>
                <w:sz w:val="24"/>
                <w:szCs w:val="24"/>
                <w:highlight w:val="none"/>
                <w:u w:val="none"/>
                <w:vertAlign w:val="baseline"/>
                <w:lang w:val="en-US" w:eastAsia="zh-CN"/>
              </w:rPr>
              <w:t>二期</w:t>
            </w:r>
            <w:r>
              <w:rPr>
                <w:rFonts w:hint="default" w:ascii="Times New Roman" w:hAnsi="Times New Roman" w:eastAsia="仿宋_GB2312" w:cs="Times New Roman"/>
                <w:color w:val="auto"/>
                <w:sz w:val="24"/>
                <w:szCs w:val="24"/>
                <w:highlight w:val="none"/>
                <w:u w:val="none"/>
                <w:vertAlign w:val="baseline"/>
                <w:lang w:val="en-US" w:eastAsia="zh-CN"/>
              </w:rPr>
              <w:t>100</w:t>
            </w:r>
            <w:r>
              <w:rPr>
                <w:rFonts w:hint="eastAsia" w:ascii="Times New Roman" w:hAnsi="Times New Roman" w:eastAsia="仿宋_GB2312" w:cs="Times New Roman"/>
                <w:color w:val="auto"/>
                <w:sz w:val="24"/>
                <w:szCs w:val="24"/>
                <w:highlight w:val="none"/>
                <w:u w:val="none"/>
                <w:vertAlign w:val="baseline"/>
                <w:lang w:val="en-US" w:eastAsia="zh-CN"/>
              </w:rPr>
              <w:t>亩</w:t>
            </w:r>
            <w:r>
              <w:rPr>
                <w:rFonts w:hint="eastAsia" w:eastAsia="仿宋_GB2312" w:cs="Times New Roman"/>
                <w:color w:val="auto"/>
                <w:sz w:val="24"/>
                <w:szCs w:val="24"/>
                <w:highlight w:val="none"/>
                <w:u w:val="none"/>
                <w:vertAlign w:val="baseline"/>
                <w:lang w:val="en-US" w:eastAsia="zh-CN"/>
              </w:rPr>
              <w:t>、</w:t>
            </w:r>
            <w:r>
              <w:rPr>
                <w:rFonts w:hint="eastAsia" w:ascii="Times New Roman" w:hAnsi="Times New Roman" w:eastAsia="仿宋_GB2312" w:cs="Times New Roman"/>
                <w:color w:val="auto"/>
                <w:sz w:val="24"/>
                <w:szCs w:val="24"/>
                <w:highlight w:val="none"/>
                <w:u w:val="none"/>
                <w:vertAlign w:val="baseline"/>
                <w:lang w:val="en-US" w:eastAsia="zh-CN"/>
              </w:rPr>
              <w:t>三期</w:t>
            </w:r>
            <w:r>
              <w:rPr>
                <w:rFonts w:hint="default" w:ascii="Times New Roman" w:hAnsi="Times New Roman" w:eastAsia="仿宋_GB2312" w:cs="Times New Roman"/>
                <w:color w:val="auto"/>
                <w:sz w:val="24"/>
                <w:szCs w:val="24"/>
                <w:highlight w:val="none"/>
                <w:u w:val="none"/>
                <w:vertAlign w:val="baseline"/>
                <w:lang w:val="en-US" w:eastAsia="zh-CN"/>
              </w:rPr>
              <w:t>130</w:t>
            </w:r>
            <w:r>
              <w:rPr>
                <w:rFonts w:hint="eastAsia" w:ascii="Times New Roman" w:hAnsi="Times New Roman" w:eastAsia="仿宋_GB2312" w:cs="Times New Roman"/>
                <w:color w:val="auto"/>
                <w:sz w:val="24"/>
                <w:szCs w:val="24"/>
                <w:highlight w:val="none"/>
                <w:u w:val="none"/>
                <w:vertAlign w:val="baseline"/>
                <w:lang w:val="en-US" w:eastAsia="zh-CN"/>
              </w:rPr>
              <w:t>亩</w:t>
            </w:r>
          </w:p>
          <w:p w14:paraId="148206DC">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both"/>
              <w:textAlignment w:val="auto"/>
              <w:rPr>
                <w:rFonts w:hint="eastAsia" w:ascii="Times New Roman" w:hAnsi="Times New Roman" w:eastAsia="仿宋_GB2312" w:cs="Times New Roman"/>
                <w:color w:val="auto"/>
                <w:sz w:val="24"/>
                <w:szCs w:val="24"/>
                <w:highlight w:val="none"/>
                <w:u w:val="none"/>
                <w:vertAlign w:val="baseline"/>
                <w:lang w:val="en-US" w:eastAsia="zh-CN"/>
              </w:rPr>
            </w:pPr>
          </w:p>
        </w:tc>
        <w:tc>
          <w:tcPr>
            <w:tcW w:w="1899" w:type="dxa"/>
            <w:tcBorders>
              <w:top w:val="single" w:color="000000" w:sz="4" w:space="0"/>
              <w:left w:val="single" w:color="000000" w:sz="4" w:space="0"/>
              <w:bottom w:val="single" w:color="000000" w:sz="4" w:space="0"/>
              <w:right w:val="single" w:color="000000" w:sz="4" w:space="0"/>
            </w:tcBorders>
            <w:vAlign w:val="center"/>
          </w:tcPr>
          <w:p w14:paraId="49153CE5">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Times New Roman" w:hAnsi="Times New Roman" w:eastAsia="仿宋_GB2312" w:cs="Times New Roman"/>
                <w:color w:val="auto"/>
                <w:sz w:val="24"/>
                <w:szCs w:val="24"/>
                <w:highlight w:val="none"/>
                <w:u w:val="none"/>
                <w:vertAlign w:val="baseline"/>
                <w:lang w:val="en-US" w:eastAsia="zh-CN"/>
              </w:rPr>
            </w:pPr>
            <w:r>
              <w:rPr>
                <w:rFonts w:hint="eastAsia" w:ascii="Times New Roman" w:hAnsi="Times New Roman" w:eastAsia="仿宋_GB2312" w:cs="Times New Roman"/>
                <w:color w:val="auto"/>
                <w:sz w:val="24"/>
                <w:szCs w:val="24"/>
                <w:highlight w:val="none"/>
                <w:u w:val="none"/>
                <w:vertAlign w:val="baseline"/>
                <w:lang w:val="en-US" w:eastAsia="zh-CN"/>
              </w:rPr>
              <w:t>近期</w:t>
            </w:r>
          </w:p>
          <w:p w14:paraId="60F6176D">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Times New Roman" w:hAnsi="Times New Roman" w:eastAsia="仿宋_GB2312" w:cs="Times New Roman"/>
                <w:color w:val="auto"/>
                <w:sz w:val="24"/>
                <w:szCs w:val="24"/>
                <w:highlight w:val="none"/>
                <w:u w:val="none"/>
                <w:vertAlign w:val="baseline"/>
                <w:lang w:val="en-US" w:eastAsia="zh-CN"/>
              </w:rPr>
            </w:pPr>
            <w:r>
              <w:rPr>
                <w:rFonts w:hint="eastAsia" w:ascii="Times New Roman" w:hAnsi="Times New Roman" w:eastAsia="仿宋_GB2312" w:cs="Times New Roman"/>
                <w:color w:val="auto"/>
                <w:sz w:val="24"/>
                <w:szCs w:val="24"/>
                <w:highlight w:val="none"/>
                <w:u w:val="none"/>
                <w:vertAlign w:val="baseline"/>
                <w:lang w:val="en-US" w:eastAsia="zh-CN"/>
              </w:rPr>
              <w:t>(</w:t>
            </w:r>
            <w:r>
              <w:rPr>
                <w:rFonts w:hint="default" w:ascii="Times New Roman" w:hAnsi="Times New Roman" w:eastAsia="仿宋_GB2312" w:cs="Times New Roman"/>
                <w:color w:val="auto"/>
                <w:sz w:val="24"/>
                <w:szCs w:val="24"/>
                <w:highlight w:val="none"/>
                <w:u w:val="none"/>
                <w:vertAlign w:val="baseline"/>
                <w:lang w:val="en-US" w:eastAsia="zh-CN"/>
              </w:rPr>
              <w:t>2024</w:t>
            </w:r>
            <w:r>
              <w:rPr>
                <w:rFonts w:hint="eastAsia" w:eastAsia="仿宋_GB2312" w:cs="Times New Roman"/>
                <w:color w:val="auto"/>
                <w:sz w:val="24"/>
                <w:szCs w:val="24"/>
                <w:highlight w:val="none"/>
                <w:u w:val="none"/>
                <w:vertAlign w:val="baseline"/>
                <w:lang w:val="en-US" w:eastAsia="zh-CN"/>
              </w:rPr>
              <w:t>—</w:t>
            </w:r>
            <w:r>
              <w:rPr>
                <w:rFonts w:hint="default" w:ascii="Times New Roman" w:hAnsi="Times New Roman" w:eastAsia="仿宋_GB2312" w:cs="Times New Roman"/>
                <w:color w:val="auto"/>
                <w:sz w:val="24"/>
                <w:szCs w:val="24"/>
                <w:highlight w:val="none"/>
                <w:u w:val="none"/>
                <w:vertAlign w:val="baseline"/>
                <w:lang w:val="en-US" w:eastAsia="zh-CN"/>
              </w:rPr>
              <w:t>2030</w:t>
            </w:r>
            <w:r>
              <w:rPr>
                <w:rFonts w:hint="eastAsia" w:ascii="Times New Roman" w:hAnsi="Times New Roman" w:eastAsia="仿宋_GB2312" w:cs="Times New Roman"/>
                <w:color w:val="auto"/>
                <w:sz w:val="24"/>
                <w:szCs w:val="24"/>
                <w:highlight w:val="none"/>
                <w:u w:val="none"/>
                <w:vertAlign w:val="baseline"/>
                <w:lang w:val="en-US" w:eastAsia="zh-CN"/>
              </w:rPr>
              <w:t>年）</w:t>
            </w:r>
          </w:p>
        </w:tc>
        <w:tc>
          <w:tcPr>
            <w:tcW w:w="1258" w:type="dxa"/>
            <w:tcBorders>
              <w:top w:val="single" w:color="000000" w:sz="4" w:space="0"/>
              <w:left w:val="single" w:color="000000" w:sz="4" w:space="0"/>
              <w:bottom w:val="single" w:color="000000" w:sz="4" w:space="0"/>
              <w:right w:val="single" w:color="000000" w:sz="4" w:space="0"/>
            </w:tcBorders>
            <w:vAlign w:val="center"/>
          </w:tcPr>
          <w:p w14:paraId="4A966C98">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Times New Roman" w:hAnsi="Times New Roman" w:eastAsia="仿宋_GB2312" w:cs="Times New Roman"/>
                <w:color w:val="auto"/>
                <w:sz w:val="24"/>
                <w:szCs w:val="24"/>
                <w:highlight w:val="none"/>
                <w:u w:val="none"/>
                <w:vertAlign w:val="baseline"/>
                <w:lang w:val="en-US" w:eastAsia="zh-CN"/>
              </w:rPr>
            </w:pPr>
          </w:p>
          <w:p w14:paraId="2369065D">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仿宋_GB2312" w:cs="Times New Roman"/>
                <w:color w:val="auto"/>
                <w:sz w:val="24"/>
                <w:szCs w:val="24"/>
                <w:highlight w:val="none"/>
                <w:u w:val="none"/>
                <w:vertAlign w:val="baseline"/>
                <w:lang w:val="en-US" w:eastAsia="zh-CN"/>
              </w:rPr>
            </w:pPr>
            <w:r>
              <w:rPr>
                <w:rFonts w:hint="default" w:ascii="Times New Roman" w:hAnsi="Times New Roman" w:eastAsia="仿宋_GB2312" w:cs="Times New Roman"/>
                <w:color w:val="auto"/>
                <w:sz w:val="24"/>
                <w:szCs w:val="24"/>
                <w:highlight w:val="none"/>
                <w:u w:val="none"/>
                <w:vertAlign w:val="baseline"/>
                <w:lang w:val="en-US" w:eastAsia="zh-CN"/>
              </w:rPr>
              <w:t>2700</w:t>
            </w:r>
          </w:p>
        </w:tc>
      </w:tr>
      <w:tr w14:paraId="5A50EFDE">
        <w:tblPrEx>
          <w:tblCellMar>
            <w:top w:w="0" w:type="dxa"/>
            <w:left w:w="57" w:type="dxa"/>
            <w:bottom w:w="0" w:type="dxa"/>
            <w:right w:w="57" w:type="dxa"/>
          </w:tblCellMar>
        </w:tblPrEx>
        <w:trPr>
          <w:trHeight w:val="1218" w:hRule="exact"/>
          <w:jc w:val="center"/>
        </w:trPr>
        <w:tc>
          <w:tcPr>
            <w:tcW w:w="674" w:type="dxa"/>
            <w:tcBorders>
              <w:top w:val="single" w:color="000000" w:sz="4" w:space="0"/>
              <w:left w:val="single" w:color="000000" w:sz="4" w:space="0"/>
              <w:bottom w:val="single" w:color="000000" w:sz="4" w:space="0"/>
              <w:right w:val="single" w:color="000000" w:sz="4" w:space="0"/>
            </w:tcBorders>
            <w:vAlign w:val="center"/>
          </w:tcPr>
          <w:p w14:paraId="4B0DE900">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仿宋_GB2312" w:cs="Times New Roman"/>
                <w:color w:val="auto"/>
                <w:sz w:val="24"/>
                <w:szCs w:val="24"/>
                <w:highlight w:val="none"/>
                <w:u w:val="none"/>
                <w:vertAlign w:val="baseline"/>
                <w:lang w:val="en-US" w:eastAsia="zh-CN"/>
              </w:rPr>
            </w:pPr>
            <w:r>
              <w:rPr>
                <w:rFonts w:hint="default" w:ascii="Times New Roman" w:hAnsi="Times New Roman" w:eastAsia="仿宋_GB2312" w:cs="Times New Roman"/>
                <w:color w:val="auto"/>
                <w:sz w:val="24"/>
                <w:szCs w:val="24"/>
                <w:highlight w:val="none"/>
                <w:u w:val="none"/>
                <w:vertAlign w:val="baseline"/>
                <w:lang w:val="en-US" w:eastAsia="zh-CN"/>
              </w:rPr>
              <w:t>4</w:t>
            </w:r>
          </w:p>
        </w:tc>
        <w:tc>
          <w:tcPr>
            <w:tcW w:w="2111" w:type="dxa"/>
            <w:gridSpan w:val="2"/>
            <w:tcBorders>
              <w:left w:val="single" w:color="000000" w:sz="4" w:space="0"/>
              <w:bottom w:val="single" w:color="000000" w:sz="4" w:space="0"/>
              <w:right w:val="single" w:color="000000" w:sz="4" w:space="0"/>
            </w:tcBorders>
            <w:vAlign w:val="center"/>
          </w:tcPr>
          <w:p w14:paraId="4860E7F2">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both"/>
              <w:textAlignment w:val="auto"/>
              <w:rPr>
                <w:rFonts w:hint="eastAsia" w:ascii="Times New Roman" w:hAnsi="Times New Roman" w:eastAsia="仿宋_GB2312" w:cs="Times New Roman"/>
                <w:color w:val="auto"/>
                <w:sz w:val="24"/>
                <w:szCs w:val="24"/>
                <w:highlight w:val="none"/>
                <w:u w:val="none"/>
                <w:vertAlign w:val="baseline"/>
                <w:lang w:val="en-US" w:eastAsia="zh-CN"/>
              </w:rPr>
            </w:pPr>
            <w:r>
              <w:rPr>
                <w:rFonts w:hint="eastAsia" w:ascii="Times New Roman" w:hAnsi="Times New Roman" w:eastAsia="仿宋_GB2312" w:cs="Times New Roman"/>
                <w:color w:val="auto"/>
                <w:sz w:val="24"/>
                <w:szCs w:val="24"/>
                <w:highlight w:val="none"/>
                <w:u w:val="none"/>
                <w:vertAlign w:val="baseline"/>
                <w:lang w:val="en-US" w:eastAsia="zh-CN"/>
              </w:rPr>
              <w:t>城市污泥和建筑垃圾资源化利用项目</w:t>
            </w:r>
          </w:p>
        </w:tc>
        <w:tc>
          <w:tcPr>
            <w:tcW w:w="3738" w:type="dxa"/>
            <w:tcBorders>
              <w:top w:val="single" w:color="000000" w:sz="4" w:space="0"/>
              <w:left w:val="single" w:color="000000" w:sz="4" w:space="0"/>
              <w:bottom w:val="single" w:color="000000" w:sz="4" w:space="0"/>
              <w:right w:val="single" w:color="000000" w:sz="4" w:space="0"/>
            </w:tcBorders>
            <w:vAlign w:val="center"/>
          </w:tcPr>
          <w:p w14:paraId="39D205F9">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both"/>
              <w:textAlignment w:val="auto"/>
              <w:rPr>
                <w:rFonts w:hint="eastAsia" w:ascii="Times New Roman" w:hAnsi="Times New Roman" w:eastAsia="仿宋_GB2312" w:cs="Times New Roman"/>
                <w:color w:val="auto"/>
                <w:sz w:val="24"/>
                <w:szCs w:val="24"/>
                <w:highlight w:val="none"/>
                <w:u w:val="none"/>
                <w:vertAlign w:val="baseline"/>
                <w:lang w:val="en-US" w:eastAsia="zh-CN"/>
              </w:rPr>
            </w:pPr>
            <w:r>
              <w:rPr>
                <w:rFonts w:hint="eastAsia" w:ascii="Times New Roman" w:hAnsi="Times New Roman" w:eastAsia="仿宋_GB2312" w:cs="Times New Roman"/>
                <w:color w:val="auto"/>
                <w:sz w:val="24"/>
                <w:szCs w:val="24"/>
                <w:highlight w:val="none"/>
                <w:u w:val="none"/>
                <w:vertAlign w:val="baseline"/>
                <w:lang w:val="en-US" w:eastAsia="zh-CN"/>
              </w:rPr>
              <w:t>建设一座占地面积</w:t>
            </w:r>
            <w:r>
              <w:rPr>
                <w:rFonts w:hint="default" w:ascii="Times New Roman" w:hAnsi="Times New Roman" w:eastAsia="仿宋_GB2312" w:cs="Times New Roman"/>
                <w:color w:val="auto"/>
                <w:sz w:val="24"/>
                <w:szCs w:val="24"/>
                <w:highlight w:val="none"/>
                <w:u w:val="none"/>
                <w:vertAlign w:val="baseline"/>
                <w:lang w:val="en-US" w:eastAsia="zh-CN"/>
              </w:rPr>
              <w:t>30</w:t>
            </w:r>
            <w:r>
              <w:rPr>
                <w:rFonts w:hint="eastAsia" w:ascii="Times New Roman" w:hAnsi="Times New Roman" w:eastAsia="仿宋_GB2312" w:cs="Times New Roman"/>
                <w:color w:val="auto"/>
                <w:sz w:val="24"/>
                <w:szCs w:val="24"/>
                <w:highlight w:val="none"/>
                <w:u w:val="none"/>
                <w:vertAlign w:val="baseline"/>
                <w:lang w:val="en-US" w:eastAsia="zh-CN"/>
              </w:rPr>
              <w:t>亩，处理规模为</w:t>
            </w:r>
            <w:r>
              <w:rPr>
                <w:rFonts w:hint="default" w:ascii="Times New Roman" w:hAnsi="Times New Roman" w:eastAsia="仿宋_GB2312" w:cs="Times New Roman"/>
                <w:color w:val="auto"/>
                <w:sz w:val="24"/>
                <w:szCs w:val="24"/>
                <w:highlight w:val="none"/>
                <w:u w:val="none"/>
                <w:vertAlign w:val="baseline"/>
                <w:lang w:val="en-US" w:eastAsia="zh-CN"/>
              </w:rPr>
              <w:t>100</w:t>
            </w:r>
            <w:r>
              <w:rPr>
                <w:rFonts w:hint="eastAsia" w:ascii="Times New Roman" w:hAnsi="Times New Roman" w:eastAsia="仿宋_GB2312" w:cs="Times New Roman"/>
                <w:color w:val="auto"/>
                <w:sz w:val="24"/>
                <w:szCs w:val="24"/>
                <w:highlight w:val="none"/>
                <w:u w:val="none"/>
                <w:vertAlign w:val="baseline"/>
                <w:lang w:val="en-US" w:eastAsia="zh-CN"/>
              </w:rPr>
              <w:t>吨/日的城市污泥和建筑垃圾资源化利用处理厂</w:t>
            </w:r>
          </w:p>
        </w:tc>
        <w:tc>
          <w:tcPr>
            <w:tcW w:w="1899" w:type="dxa"/>
            <w:tcBorders>
              <w:top w:val="single" w:color="000000" w:sz="4" w:space="0"/>
              <w:left w:val="single" w:color="000000" w:sz="4" w:space="0"/>
              <w:bottom w:val="single" w:color="000000" w:sz="4" w:space="0"/>
              <w:right w:val="single" w:color="000000" w:sz="4" w:space="0"/>
            </w:tcBorders>
            <w:vAlign w:val="center"/>
          </w:tcPr>
          <w:p w14:paraId="30F693C5">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Times New Roman" w:hAnsi="Times New Roman" w:eastAsia="仿宋_GB2312" w:cs="Times New Roman"/>
                <w:color w:val="auto"/>
                <w:sz w:val="24"/>
                <w:szCs w:val="24"/>
                <w:highlight w:val="none"/>
                <w:u w:val="none"/>
                <w:vertAlign w:val="baseline"/>
                <w:lang w:val="en-US" w:eastAsia="zh-CN"/>
              </w:rPr>
            </w:pPr>
            <w:r>
              <w:rPr>
                <w:rFonts w:hint="eastAsia" w:ascii="Times New Roman" w:hAnsi="Times New Roman" w:eastAsia="仿宋_GB2312" w:cs="Times New Roman"/>
                <w:color w:val="auto"/>
                <w:sz w:val="24"/>
                <w:szCs w:val="24"/>
                <w:highlight w:val="none"/>
                <w:u w:val="none"/>
                <w:vertAlign w:val="baseline"/>
                <w:lang w:val="en-US" w:eastAsia="zh-CN"/>
              </w:rPr>
              <w:t>近期</w:t>
            </w:r>
          </w:p>
          <w:p w14:paraId="2741FD0F">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Times New Roman" w:hAnsi="Times New Roman" w:eastAsia="仿宋_GB2312" w:cs="Times New Roman"/>
                <w:color w:val="auto"/>
                <w:sz w:val="24"/>
                <w:szCs w:val="24"/>
                <w:highlight w:val="none"/>
                <w:u w:val="none"/>
                <w:vertAlign w:val="baseline"/>
                <w:lang w:val="en-US" w:eastAsia="zh-CN"/>
              </w:rPr>
            </w:pPr>
            <w:r>
              <w:rPr>
                <w:rFonts w:hint="eastAsia" w:ascii="Times New Roman" w:hAnsi="Times New Roman" w:eastAsia="仿宋_GB2312" w:cs="Times New Roman"/>
                <w:color w:val="auto"/>
                <w:sz w:val="24"/>
                <w:szCs w:val="24"/>
                <w:highlight w:val="none"/>
                <w:u w:val="none"/>
                <w:vertAlign w:val="baseline"/>
                <w:lang w:val="en-US" w:eastAsia="zh-CN"/>
              </w:rPr>
              <w:t>(</w:t>
            </w:r>
            <w:r>
              <w:rPr>
                <w:rFonts w:hint="default" w:ascii="Times New Roman" w:hAnsi="Times New Roman" w:eastAsia="仿宋_GB2312" w:cs="Times New Roman"/>
                <w:color w:val="auto"/>
                <w:sz w:val="24"/>
                <w:szCs w:val="24"/>
                <w:highlight w:val="none"/>
                <w:u w:val="none"/>
                <w:vertAlign w:val="baseline"/>
                <w:lang w:val="en-US" w:eastAsia="zh-CN"/>
              </w:rPr>
              <w:t>2024</w:t>
            </w:r>
            <w:r>
              <w:rPr>
                <w:rFonts w:hint="eastAsia" w:eastAsia="仿宋_GB2312" w:cs="Times New Roman"/>
                <w:color w:val="auto"/>
                <w:sz w:val="24"/>
                <w:szCs w:val="24"/>
                <w:highlight w:val="none"/>
                <w:u w:val="none"/>
                <w:vertAlign w:val="baseline"/>
                <w:lang w:val="en-US" w:eastAsia="zh-CN"/>
              </w:rPr>
              <w:t>—</w:t>
            </w:r>
            <w:r>
              <w:rPr>
                <w:rFonts w:hint="default" w:ascii="Times New Roman" w:hAnsi="Times New Roman" w:eastAsia="仿宋_GB2312" w:cs="Times New Roman"/>
                <w:color w:val="auto"/>
                <w:sz w:val="24"/>
                <w:szCs w:val="24"/>
                <w:highlight w:val="none"/>
                <w:u w:val="none"/>
                <w:vertAlign w:val="baseline"/>
                <w:lang w:val="en-US" w:eastAsia="zh-CN"/>
              </w:rPr>
              <w:t>2030</w:t>
            </w:r>
            <w:r>
              <w:rPr>
                <w:rFonts w:hint="eastAsia" w:ascii="Times New Roman" w:hAnsi="Times New Roman" w:eastAsia="仿宋_GB2312" w:cs="Times New Roman"/>
                <w:color w:val="auto"/>
                <w:sz w:val="24"/>
                <w:szCs w:val="24"/>
                <w:highlight w:val="none"/>
                <w:u w:val="none"/>
                <w:vertAlign w:val="baseline"/>
                <w:lang w:val="en-US" w:eastAsia="zh-CN"/>
              </w:rPr>
              <w:t>年）</w:t>
            </w:r>
          </w:p>
        </w:tc>
        <w:tc>
          <w:tcPr>
            <w:tcW w:w="1258" w:type="dxa"/>
            <w:tcBorders>
              <w:top w:val="single" w:color="000000" w:sz="4" w:space="0"/>
              <w:left w:val="single" w:color="000000" w:sz="4" w:space="0"/>
              <w:bottom w:val="single" w:color="000000" w:sz="4" w:space="0"/>
              <w:right w:val="single" w:color="000000" w:sz="4" w:space="0"/>
            </w:tcBorders>
            <w:vAlign w:val="center"/>
          </w:tcPr>
          <w:p w14:paraId="50AB7808">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仿宋_GB2312" w:cs="Times New Roman"/>
                <w:color w:val="auto"/>
                <w:sz w:val="24"/>
                <w:szCs w:val="24"/>
                <w:highlight w:val="none"/>
                <w:u w:val="none"/>
                <w:vertAlign w:val="baseline"/>
                <w:lang w:val="en-US" w:eastAsia="zh-CN"/>
              </w:rPr>
            </w:pPr>
            <w:r>
              <w:rPr>
                <w:rFonts w:hint="default" w:ascii="Times New Roman" w:hAnsi="Times New Roman" w:eastAsia="仿宋_GB2312" w:cs="Times New Roman"/>
                <w:color w:val="auto"/>
                <w:sz w:val="24"/>
                <w:szCs w:val="24"/>
                <w:highlight w:val="none"/>
                <w:u w:val="none"/>
                <w:vertAlign w:val="baseline"/>
                <w:lang w:val="en-US" w:eastAsia="zh-CN"/>
              </w:rPr>
              <w:t>1000</w:t>
            </w:r>
          </w:p>
        </w:tc>
      </w:tr>
      <w:tr w14:paraId="65EFFCD7">
        <w:tblPrEx>
          <w:tblCellMar>
            <w:top w:w="0" w:type="dxa"/>
            <w:left w:w="57" w:type="dxa"/>
            <w:bottom w:w="0" w:type="dxa"/>
            <w:right w:w="57" w:type="dxa"/>
          </w:tblCellMar>
        </w:tblPrEx>
        <w:trPr>
          <w:trHeight w:val="825" w:hRule="exact"/>
          <w:jc w:val="center"/>
        </w:trPr>
        <w:tc>
          <w:tcPr>
            <w:tcW w:w="674" w:type="dxa"/>
            <w:tcBorders>
              <w:top w:val="single" w:color="000000" w:sz="4" w:space="0"/>
              <w:left w:val="single" w:color="000000" w:sz="4" w:space="0"/>
              <w:bottom w:val="single" w:color="000000" w:sz="4" w:space="0"/>
              <w:right w:val="single" w:color="000000" w:sz="4" w:space="0"/>
            </w:tcBorders>
            <w:vAlign w:val="center"/>
          </w:tcPr>
          <w:p w14:paraId="0C71D301">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Times New Roman" w:hAnsi="Times New Roman" w:eastAsia="仿宋_GB2312" w:cs="Times New Roman"/>
                <w:color w:val="auto"/>
                <w:sz w:val="24"/>
                <w:szCs w:val="24"/>
                <w:highlight w:val="none"/>
                <w:u w:val="none"/>
                <w:vertAlign w:val="baseline"/>
                <w:lang w:val="en-US" w:eastAsia="zh-CN"/>
              </w:rPr>
            </w:pPr>
            <w:r>
              <w:rPr>
                <w:rFonts w:hint="default" w:ascii="Times New Roman" w:hAnsi="Times New Roman" w:eastAsia="仿宋_GB2312" w:cs="Times New Roman"/>
                <w:color w:val="auto"/>
                <w:sz w:val="24"/>
                <w:szCs w:val="24"/>
                <w:highlight w:val="none"/>
                <w:u w:val="none"/>
                <w:vertAlign w:val="baseline"/>
                <w:lang w:val="en-US" w:eastAsia="zh-CN"/>
              </w:rPr>
              <w:t>5</w:t>
            </w:r>
          </w:p>
        </w:tc>
        <w:tc>
          <w:tcPr>
            <w:tcW w:w="2111" w:type="dxa"/>
            <w:gridSpan w:val="2"/>
            <w:tcBorders>
              <w:top w:val="single" w:color="000000" w:sz="4" w:space="0"/>
              <w:left w:val="single" w:color="000000" w:sz="4" w:space="0"/>
              <w:bottom w:val="single" w:color="000000" w:sz="4" w:space="0"/>
              <w:right w:val="single" w:color="000000" w:sz="4" w:space="0"/>
            </w:tcBorders>
            <w:vAlign w:val="center"/>
          </w:tcPr>
          <w:p w14:paraId="47BA6259">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both"/>
              <w:textAlignment w:val="auto"/>
              <w:rPr>
                <w:rFonts w:hint="eastAsia" w:ascii="Times New Roman" w:hAnsi="Times New Roman" w:eastAsia="仿宋_GB2312" w:cs="Times New Roman"/>
                <w:color w:val="auto"/>
                <w:sz w:val="24"/>
                <w:szCs w:val="24"/>
                <w:highlight w:val="none"/>
                <w:u w:val="none"/>
                <w:vertAlign w:val="baseline"/>
                <w:lang w:val="en-US" w:eastAsia="zh-CN"/>
              </w:rPr>
            </w:pPr>
            <w:r>
              <w:rPr>
                <w:rFonts w:hint="eastAsia" w:ascii="Times New Roman" w:hAnsi="Times New Roman" w:eastAsia="仿宋_GB2312" w:cs="Times New Roman"/>
                <w:color w:val="auto"/>
                <w:sz w:val="24"/>
                <w:szCs w:val="24"/>
                <w:highlight w:val="none"/>
                <w:u w:val="none"/>
                <w:vertAlign w:val="baseline"/>
                <w:lang w:val="en-US" w:eastAsia="zh-CN"/>
              </w:rPr>
              <w:t>信息化管理系统</w:t>
            </w:r>
          </w:p>
        </w:tc>
        <w:tc>
          <w:tcPr>
            <w:tcW w:w="3738" w:type="dxa"/>
            <w:tcBorders>
              <w:top w:val="single" w:color="000000" w:sz="4" w:space="0"/>
              <w:left w:val="single" w:color="000000" w:sz="4" w:space="0"/>
              <w:bottom w:val="single" w:color="000000" w:sz="4" w:space="0"/>
              <w:right w:val="single" w:color="000000" w:sz="4" w:space="0"/>
            </w:tcBorders>
            <w:vAlign w:val="center"/>
          </w:tcPr>
          <w:p w14:paraId="72C6D2A7">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both"/>
              <w:textAlignment w:val="auto"/>
              <w:rPr>
                <w:rFonts w:hint="eastAsia" w:ascii="Times New Roman" w:hAnsi="Times New Roman" w:eastAsia="仿宋_GB2312" w:cs="Times New Roman"/>
                <w:color w:val="auto"/>
                <w:sz w:val="24"/>
                <w:szCs w:val="24"/>
                <w:highlight w:val="none"/>
                <w:u w:val="none"/>
                <w:vertAlign w:val="baseline"/>
                <w:lang w:val="en-US" w:eastAsia="zh-CN"/>
              </w:rPr>
            </w:pPr>
            <w:r>
              <w:rPr>
                <w:rFonts w:hint="eastAsia" w:ascii="Times New Roman" w:hAnsi="Times New Roman" w:eastAsia="仿宋_GB2312" w:cs="Times New Roman"/>
                <w:color w:val="auto"/>
                <w:sz w:val="24"/>
                <w:szCs w:val="24"/>
                <w:highlight w:val="none"/>
                <w:u w:val="none"/>
                <w:vertAlign w:val="baseline"/>
                <w:lang w:val="en-US" w:eastAsia="zh-CN"/>
              </w:rPr>
              <w:t>现有信息化管理系统优化</w:t>
            </w:r>
          </w:p>
        </w:tc>
        <w:tc>
          <w:tcPr>
            <w:tcW w:w="1899" w:type="dxa"/>
            <w:tcBorders>
              <w:top w:val="single" w:color="000000" w:sz="4" w:space="0"/>
              <w:left w:val="single" w:color="000000" w:sz="4" w:space="0"/>
              <w:bottom w:val="single" w:color="000000" w:sz="4" w:space="0"/>
              <w:right w:val="single" w:color="000000" w:sz="4" w:space="0"/>
            </w:tcBorders>
            <w:vAlign w:val="center"/>
          </w:tcPr>
          <w:p w14:paraId="4E087009">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Times New Roman" w:hAnsi="Times New Roman" w:eastAsia="仿宋_GB2312" w:cs="Times New Roman"/>
                <w:color w:val="auto"/>
                <w:sz w:val="24"/>
                <w:szCs w:val="24"/>
                <w:highlight w:val="none"/>
                <w:u w:val="none"/>
                <w:vertAlign w:val="baseline"/>
                <w:lang w:val="en-US" w:eastAsia="zh-CN"/>
              </w:rPr>
            </w:pPr>
            <w:r>
              <w:rPr>
                <w:rFonts w:hint="eastAsia" w:ascii="Times New Roman" w:hAnsi="Times New Roman" w:eastAsia="仿宋_GB2312" w:cs="Times New Roman"/>
                <w:color w:val="auto"/>
                <w:sz w:val="24"/>
                <w:szCs w:val="24"/>
                <w:highlight w:val="none"/>
                <w:u w:val="none"/>
                <w:vertAlign w:val="baseline"/>
                <w:lang w:val="en-US" w:eastAsia="zh-CN"/>
              </w:rPr>
              <w:t>近期</w:t>
            </w:r>
          </w:p>
          <w:p w14:paraId="15349C39">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Times New Roman" w:hAnsi="Times New Roman" w:eastAsia="仿宋_GB2312" w:cs="Times New Roman"/>
                <w:color w:val="auto"/>
                <w:sz w:val="24"/>
                <w:szCs w:val="24"/>
                <w:highlight w:val="none"/>
                <w:u w:val="none"/>
                <w:vertAlign w:val="baseline"/>
                <w:lang w:val="en-US" w:eastAsia="zh-CN"/>
              </w:rPr>
            </w:pPr>
            <w:r>
              <w:rPr>
                <w:rFonts w:hint="eastAsia" w:ascii="Times New Roman" w:hAnsi="Times New Roman" w:eastAsia="仿宋_GB2312" w:cs="Times New Roman"/>
                <w:color w:val="auto"/>
                <w:sz w:val="24"/>
                <w:szCs w:val="24"/>
                <w:highlight w:val="none"/>
                <w:u w:val="none"/>
                <w:vertAlign w:val="baseline"/>
                <w:lang w:val="en-US" w:eastAsia="zh-CN"/>
              </w:rPr>
              <w:t>(</w:t>
            </w:r>
            <w:r>
              <w:rPr>
                <w:rFonts w:hint="default" w:ascii="Times New Roman" w:hAnsi="Times New Roman" w:eastAsia="仿宋_GB2312" w:cs="Times New Roman"/>
                <w:color w:val="auto"/>
                <w:sz w:val="24"/>
                <w:szCs w:val="24"/>
                <w:highlight w:val="none"/>
                <w:u w:val="none"/>
                <w:vertAlign w:val="baseline"/>
                <w:lang w:val="en-US" w:eastAsia="zh-CN"/>
              </w:rPr>
              <w:t>2024</w:t>
            </w:r>
            <w:r>
              <w:rPr>
                <w:rFonts w:hint="eastAsia" w:eastAsia="仿宋_GB2312" w:cs="Times New Roman"/>
                <w:color w:val="auto"/>
                <w:sz w:val="24"/>
                <w:szCs w:val="24"/>
                <w:highlight w:val="none"/>
                <w:u w:val="none"/>
                <w:vertAlign w:val="baseline"/>
                <w:lang w:val="en-US" w:eastAsia="zh-CN"/>
              </w:rPr>
              <w:t>—</w:t>
            </w:r>
            <w:r>
              <w:rPr>
                <w:rFonts w:hint="default" w:ascii="Times New Roman" w:hAnsi="Times New Roman" w:eastAsia="仿宋_GB2312" w:cs="Times New Roman"/>
                <w:color w:val="auto"/>
                <w:sz w:val="24"/>
                <w:szCs w:val="24"/>
                <w:highlight w:val="none"/>
                <w:u w:val="none"/>
                <w:vertAlign w:val="baseline"/>
                <w:lang w:val="en-US" w:eastAsia="zh-CN"/>
              </w:rPr>
              <w:t>2030</w:t>
            </w:r>
            <w:r>
              <w:rPr>
                <w:rFonts w:hint="eastAsia" w:ascii="Times New Roman" w:hAnsi="Times New Roman" w:eastAsia="仿宋_GB2312" w:cs="Times New Roman"/>
                <w:color w:val="auto"/>
                <w:sz w:val="24"/>
                <w:szCs w:val="24"/>
                <w:highlight w:val="none"/>
                <w:u w:val="none"/>
                <w:vertAlign w:val="baseline"/>
                <w:lang w:val="en-US" w:eastAsia="zh-CN"/>
              </w:rPr>
              <w:t>年） 年）</w:t>
            </w:r>
          </w:p>
        </w:tc>
        <w:tc>
          <w:tcPr>
            <w:tcW w:w="1258" w:type="dxa"/>
            <w:tcBorders>
              <w:top w:val="single" w:color="000000" w:sz="4" w:space="0"/>
              <w:left w:val="single" w:color="000000" w:sz="4" w:space="0"/>
              <w:bottom w:val="single" w:color="000000" w:sz="4" w:space="0"/>
              <w:right w:val="single" w:color="000000" w:sz="4" w:space="0"/>
            </w:tcBorders>
            <w:vAlign w:val="center"/>
          </w:tcPr>
          <w:p w14:paraId="27855421">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Times New Roman" w:hAnsi="Times New Roman" w:eastAsia="仿宋_GB2312" w:cs="Times New Roman"/>
                <w:color w:val="auto"/>
                <w:sz w:val="24"/>
                <w:szCs w:val="24"/>
                <w:highlight w:val="none"/>
                <w:u w:val="none"/>
                <w:vertAlign w:val="baseline"/>
                <w:lang w:val="en-US" w:eastAsia="zh-CN"/>
              </w:rPr>
            </w:pPr>
            <w:r>
              <w:rPr>
                <w:rFonts w:hint="default" w:ascii="Times New Roman" w:hAnsi="Times New Roman" w:eastAsia="仿宋_GB2312" w:cs="Times New Roman"/>
                <w:color w:val="auto"/>
                <w:sz w:val="24"/>
                <w:szCs w:val="24"/>
                <w:highlight w:val="none"/>
                <w:u w:val="none"/>
                <w:vertAlign w:val="baseline"/>
                <w:lang w:val="en-US" w:eastAsia="zh-CN"/>
              </w:rPr>
              <w:t>400</w:t>
            </w:r>
          </w:p>
        </w:tc>
      </w:tr>
      <w:tr w14:paraId="0F10DA0A">
        <w:tblPrEx>
          <w:tblCellMar>
            <w:top w:w="0" w:type="dxa"/>
            <w:left w:w="57" w:type="dxa"/>
            <w:bottom w:w="0" w:type="dxa"/>
            <w:right w:w="57" w:type="dxa"/>
          </w:tblCellMar>
        </w:tblPrEx>
        <w:trPr>
          <w:trHeight w:val="456" w:hRule="exact"/>
          <w:jc w:val="center"/>
        </w:trPr>
        <w:tc>
          <w:tcPr>
            <w:tcW w:w="6523" w:type="dxa"/>
            <w:gridSpan w:val="4"/>
            <w:tcBorders>
              <w:top w:val="single" w:color="000000" w:sz="4" w:space="0"/>
              <w:left w:val="single" w:color="000000" w:sz="4" w:space="0"/>
              <w:bottom w:val="single" w:color="000000" w:sz="4" w:space="0"/>
              <w:right w:val="single" w:color="000000" w:sz="4" w:space="0"/>
            </w:tcBorders>
            <w:vAlign w:val="center"/>
          </w:tcPr>
          <w:p w14:paraId="0E117080">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仿宋_GB2312" w:cs="Times New Roman"/>
                <w:color w:val="auto"/>
                <w:sz w:val="24"/>
                <w:szCs w:val="24"/>
                <w:highlight w:val="none"/>
                <w:u w:val="none"/>
                <w:vertAlign w:val="baseline"/>
                <w:lang w:val="en-US" w:eastAsia="zh-CN"/>
              </w:rPr>
            </w:pPr>
            <w:r>
              <w:rPr>
                <w:rFonts w:hint="default" w:ascii="Times New Roman" w:hAnsi="Times New Roman" w:eastAsia="仿宋_GB2312" w:cs="Times New Roman"/>
                <w:color w:val="auto"/>
                <w:sz w:val="24"/>
                <w:szCs w:val="24"/>
                <w:highlight w:val="none"/>
                <w:u w:val="none"/>
                <w:vertAlign w:val="baseline"/>
                <w:lang w:val="en-US" w:eastAsia="zh-CN"/>
              </w:rPr>
              <w:t>总投资</w:t>
            </w:r>
          </w:p>
        </w:tc>
        <w:tc>
          <w:tcPr>
            <w:tcW w:w="1899" w:type="dxa"/>
            <w:tcBorders>
              <w:top w:val="single" w:color="000000" w:sz="4" w:space="0"/>
              <w:left w:val="single" w:color="000000" w:sz="4" w:space="0"/>
              <w:bottom w:val="single" w:color="000000" w:sz="4" w:space="0"/>
              <w:right w:val="single" w:color="000000" w:sz="4" w:space="0"/>
            </w:tcBorders>
            <w:vAlign w:val="center"/>
          </w:tcPr>
          <w:p w14:paraId="6331868F">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both"/>
              <w:textAlignment w:val="auto"/>
              <w:rPr>
                <w:rFonts w:hint="default" w:ascii="Times New Roman" w:hAnsi="Times New Roman" w:eastAsia="仿宋_GB2312" w:cs="Times New Roman"/>
                <w:color w:val="auto"/>
                <w:sz w:val="24"/>
                <w:szCs w:val="24"/>
                <w:highlight w:val="none"/>
                <w:u w:val="none"/>
                <w:vertAlign w:val="baseline"/>
                <w:lang w:val="en-US" w:eastAsia="zh-CN"/>
              </w:rPr>
            </w:pPr>
          </w:p>
        </w:tc>
        <w:tc>
          <w:tcPr>
            <w:tcW w:w="1258" w:type="dxa"/>
            <w:tcBorders>
              <w:top w:val="single" w:color="000000" w:sz="4" w:space="0"/>
              <w:left w:val="single" w:color="000000" w:sz="4" w:space="0"/>
              <w:bottom w:val="single" w:color="000000" w:sz="4" w:space="0"/>
              <w:right w:val="single" w:color="000000" w:sz="4" w:space="0"/>
            </w:tcBorders>
            <w:vAlign w:val="center"/>
          </w:tcPr>
          <w:p w14:paraId="613485F1">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default" w:ascii="Times New Roman" w:hAnsi="Times New Roman" w:eastAsia="仿宋_GB2312" w:cs="Times New Roman"/>
                <w:color w:val="auto"/>
                <w:sz w:val="24"/>
                <w:szCs w:val="24"/>
                <w:highlight w:val="none"/>
                <w:u w:val="none"/>
                <w:vertAlign w:val="baseline"/>
                <w:lang w:val="en-US" w:eastAsia="zh-CN"/>
              </w:rPr>
            </w:pPr>
            <w:r>
              <w:rPr>
                <w:rFonts w:hint="default" w:ascii="Times New Roman" w:hAnsi="Times New Roman" w:eastAsia="仿宋_GB2312" w:cs="Times New Roman"/>
                <w:color w:val="auto"/>
                <w:sz w:val="24"/>
                <w:szCs w:val="24"/>
                <w:highlight w:val="none"/>
                <w:u w:val="none"/>
                <w:vertAlign w:val="baseline"/>
                <w:lang w:val="en-US" w:eastAsia="zh-CN"/>
              </w:rPr>
              <w:t>4300</w:t>
            </w:r>
          </w:p>
        </w:tc>
      </w:tr>
    </w:tbl>
    <w:p w14:paraId="12E33A54">
      <w:pPr>
        <w:pStyle w:val="25"/>
        <w:pageBreakBefore w:val="0"/>
        <w:kinsoku/>
        <w:wordWrap/>
        <w:topLinePunct w:val="0"/>
        <w:bidi w:val="0"/>
        <w:spacing w:beforeAutospacing="0" w:afterAutospacing="0" w:line="560" w:lineRule="exact"/>
        <w:ind w:left="0" w:leftChars="0"/>
        <w:rPr>
          <w:rFonts w:hint="eastAsia"/>
          <w:color w:val="auto"/>
          <w:highlight w:val="none"/>
          <w:u w:val="none"/>
          <w:lang w:val="en-US" w:eastAsia="zh-CN"/>
        </w:rPr>
        <w:sectPr>
          <w:footerReference r:id="rId6" w:type="default"/>
          <w:pgSz w:w="11850" w:h="16783"/>
          <w:pgMar w:top="2098" w:right="1474" w:bottom="1984" w:left="1587" w:header="851" w:footer="1417" w:gutter="0"/>
          <w:pgNumType w:fmt="decimal" w:start="1"/>
          <w:cols w:space="0" w:num="1"/>
          <w:rtlGutter w:val="0"/>
          <w:docGrid w:type="lines" w:linePitch="319" w:charSpace="0"/>
        </w:sectPr>
      </w:pPr>
    </w:p>
    <w:p w14:paraId="410AE960">
      <w:pPr>
        <w:pStyle w:val="2"/>
        <w:keepNext/>
        <w:keepLines/>
        <w:pageBreakBefore w:val="0"/>
        <w:widowControl/>
        <w:kinsoku/>
        <w:wordWrap/>
        <w:overflowPunct/>
        <w:topLinePunct w:val="0"/>
        <w:autoSpaceDE/>
        <w:autoSpaceDN/>
        <w:bidi w:val="0"/>
        <w:adjustRightInd/>
        <w:snapToGrid w:val="0"/>
        <w:spacing w:before="0" w:beforeAutospacing="0" w:after="0" w:afterAutospacing="0" w:line="560" w:lineRule="exact"/>
        <w:ind w:left="0" w:leftChars="0"/>
        <w:jc w:val="both"/>
        <w:textAlignment w:val="auto"/>
        <w:outlineLvl w:val="0"/>
        <w:rPr>
          <w:rFonts w:hint="eastAsia" w:ascii="黑体" w:hAnsi="黑体" w:eastAsia="黑体" w:cs="黑体"/>
          <w:b w:val="0"/>
          <w:bCs w:val="0"/>
          <w:color w:val="auto"/>
          <w:sz w:val="32"/>
          <w:szCs w:val="32"/>
          <w:highlight w:val="none"/>
          <w:u w:val="none"/>
          <w:lang w:val="en-US" w:eastAsia="zh-CN"/>
        </w:rPr>
      </w:pPr>
      <w:bookmarkStart w:id="163" w:name="_Toc22994"/>
      <w:bookmarkStart w:id="164" w:name="_Toc2577"/>
      <w:bookmarkStart w:id="165" w:name="_Toc16451"/>
      <w:r>
        <w:rPr>
          <w:rFonts w:hint="eastAsia" w:ascii="黑体" w:hAnsi="黑体" w:eastAsia="黑体" w:cs="黑体"/>
          <w:b w:val="0"/>
          <w:bCs w:val="0"/>
          <w:color w:val="auto"/>
          <w:sz w:val="32"/>
          <w:szCs w:val="32"/>
          <w:highlight w:val="none"/>
          <w:u w:val="none"/>
          <w:lang w:val="en-US" w:eastAsia="zh-CN"/>
        </w:rPr>
        <w:t>附图</w:t>
      </w:r>
      <w:bookmarkEnd w:id="160"/>
      <w:bookmarkEnd w:id="163"/>
      <w:bookmarkEnd w:id="164"/>
      <w:bookmarkEnd w:id="165"/>
    </w:p>
    <w:p w14:paraId="4B5F5E0A">
      <w:pPr>
        <w:pStyle w:val="9"/>
        <w:pageBreakBefore w:val="0"/>
        <w:kinsoku/>
        <w:wordWrap/>
        <w:topLinePunct w:val="0"/>
        <w:bidi w:val="0"/>
        <w:spacing w:beforeAutospacing="0" w:afterAutospacing="0" w:line="560" w:lineRule="exact"/>
        <w:ind w:left="0" w:leftChars="0" w:firstLine="0" w:firstLineChars="0"/>
        <w:rPr>
          <w:rFonts w:hint="default" w:ascii="Times New Roman" w:hAnsi="Times New Roman" w:eastAsia="仿宋_GB2312" w:cs="Times New Roman"/>
          <w:color w:val="auto"/>
          <w:highlight w:val="none"/>
          <w:u w:val="none"/>
        </w:rPr>
      </w:pPr>
      <w:r>
        <w:rPr>
          <w:rFonts w:hint="default" w:ascii="Times New Roman" w:hAnsi="Times New Roman" w:eastAsia="仿宋_GB2312" w:cs="Times New Roman"/>
          <w:color w:val="auto"/>
          <w:highlight w:val="none"/>
          <w:u w:val="none"/>
        </w:rPr>
        <w:t xml:space="preserve">01 </w:t>
      </w:r>
      <w:r>
        <w:rPr>
          <w:rFonts w:hint="default" w:ascii="Times New Roman" w:hAnsi="Times New Roman" w:eastAsia="仿宋_GB2312" w:cs="Times New Roman"/>
          <w:color w:val="auto"/>
          <w:highlight w:val="none"/>
          <w:u w:val="none"/>
          <w:lang w:val="en-US" w:eastAsia="zh-CN"/>
        </w:rPr>
        <w:t xml:space="preserve"> 融安县</w:t>
      </w:r>
      <w:r>
        <w:rPr>
          <w:rFonts w:hint="default" w:ascii="Times New Roman" w:hAnsi="Times New Roman" w:eastAsia="仿宋_GB2312" w:cs="Times New Roman"/>
          <w:color w:val="auto"/>
          <w:highlight w:val="none"/>
          <w:u w:val="none"/>
        </w:rPr>
        <w:t>区域位置图</w:t>
      </w:r>
    </w:p>
    <w:p w14:paraId="04F39238">
      <w:pPr>
        <w:pStyle w:val="9"/>
        <w:pageBreakBefore w:val="0"/>
        <w:kinsoku/>
        <w:wordWrap/>
        <w:topLinePunct w:val="0"/>
        <w:bidi w:val="0"/>
        <w:spacing w:beforeAutospacing="0" w:afterAutospacing="0" w:line="560" w:lineRule="exact"/>
        <w:ind w:left="0" w:leftChars="0" w:firstLine="0" w:firstLineChars="0"/>
        <w:rPr>
          <w:rFonts w:hint="default" w:ascii="Times New Roman" w:hAnsi="Times New Roman" w:eastAsia="仿宋_GB2312" w:cs="Times New Roman"/>
          <w:color w:val="auto"/>
          <w:highlight w:val="none"/>
          <w:u w:val="none"/>
        </w:rPr>
      </w:pPr>
      <w:r>
        <w:rPr>
          <w:rFonts w:hint="default" w:ascii="Times New Roman" w:hAnsi="Times New Roman" w:eastAsia="仿宋_GB2312" w:cs="Times New Roman"/>
          <w:color w:val="auto"/>
          <w:highlight w:val="none"/>
          <w:u w:val="none"/>
        </w:rPr>
        <w:t>0</w:t>
      </w:r>
      <w:r>
        <w:rPr>
          <w:rFonts w:hint="default" w:ascii="Times New Roman" w:hAnsi="Times New Roman" w:eastAsia="仿宋_GB2312" w:cs="Times New Roman"/>
          <w:color w:val="auto"/>
          <w:highlight w:val="none"/>
          <w:u w:val="none"/>
          <w:lang w:val="en-US" w:eastAsia="zh-CN"/>
        </w:rPr>
        <w:t>2</w:t>
      </w:r>
      <w:r>
        <w:rPr>
          <w:rFonts w:hint="default" w:ascii="Times New Roman" w:hAnsi="Times New Roman" w:eastAsia="仿宋_GB2312" w:cs="Times New Roman"/>
          <w:color w:val="auto"/>
          <w:highlight w:val="none"/>
          <w:u w:val="none"/>
        </w:rPr>
        <w:t xml:space="preserve">  </w:t>
      </w:r>
      <w:r>
        <w:rPr>
          <w:rFonts w:hint="default" w:ascii="Times New Roman" w:hAnsi="Times New Roman" w:eastAsia="仿宋_GB2312" w:cs="Times New Roman"/>
          <w:color w:val="auto"/>
          <w:highlight w:val="none"/>
          <w:u w:val="none"/>
          <w:lang w:eastAsia="zh-CN"/>
        </w:rPr>
        <w:t>县域国土空间用地现状图</w:t>
      </w:r>
    </w:p>
    <w:p w14:paraId="1D01A7A6">
      <w:pPr>
        <w:pStyle w:val="9"/>
        <w:pageBreakBefore w:val="0"/>
        <w:kinsoku/>
        <w:wordWrap/>
        <w:topLinePunct w:val="0"/>
        <w:bidi w:val="0"/>
        <w:spacing w:beforeAutospacing="0" w:afterAutospacing="0" w:line="560" w:lineRule="exact"/>
        <w:ind w:left="0" w:leftChars="0" w:firstLine="0" w:firstLineChars="0"/>
        <w:rPr>
          <w:rFonts w:hint="default" w:ascii="Times New Roman" w:hAnsi="Times New Roman" w:eastAsia="仿宋_GB2312" w:cs="Times New Roman"/>
          <w:color w:val="auto"/>
          <w:highlight w:val="none"/>
          <w:u w:val="none"/>
          <w:lang w:val="en-US" w:eastAsia="zh-CN"/>
        </w:rPr>
      </w:pPr>
      <w:r>
        <w:rPr>
          <w:rFonts w:hint="default" w:ascii="Times New Roman" w:hAnsi="Times New Roman" w:eastAsia="仿宋_GB2312" w:cs="Times New Roman"/>
          <w:color w:val="auto"/>
          <w:highlight w:val="none"/>
          <w:u w:val="none"/>
        </w:rPr>
        <w:t>0</w:t>
      </w:r>
      <w:r>
        <w:rPr>
          <w:rFonts w:hint="default" w:ascii="Times New Roman" w:hAnsi="Times New Roman" w:eastAsia="仿宋_GB2312" w:cs="Times New Roman"/>
          <w:color w:val="auto"/>
          <w:highlight w:val="none"/>
          <w:u w:val="none"/>
          <w:lang w:val="en-US" w:eastAsia="zh-CN"/>
        </w:rPr>
        <w:t>3</w:t>
      </w:r>
      <w:r>
        <w:rPr>
          <w:rFonts w:hint="default" w:ascii="Times New Roman" w:hAnsi="Times New Roman" w:eastAsia="仿宋_GB2312" w:cs="Times New Roman"/>
          <w:color w:val="auto"/>
          <w:highlight w:val="none"/>
          <w:u w:val="none"/>
        </w:rPr>
        <w:t xml:space="preserve">  </w:t>
      </w:r>
      <w:r>
        <w:rPr>
          <w:rFonts w:hint="default" w:ascii="Times New Roman" w:hAnsi="Times New Roman" w:eastAsia="仿宋_GB2312" w:cs="Times New Roman"/>
          <w:color w:val="auto"/>
          <w:highlight w:val="none"/>
          <w:u w:val="none"/>
          <w:lang w:val="en-US" w:eastAsia="zh-CN"/>
        </w:rPr>
        <w:t>中心城区环卫工程规划图</w:t>
      </w:r>
    </w:p>
    <w:p w14:paraId="3E8957C0">
      <w:pPr>
        <w:pStyle w:val="9"/>
        <w:pageBreakBefore w:val="0"/>
        <w:kinsoku/>
        <w:wordWrap/>
        <w:topLinePunct w:val="0"/>
        <w:bidi w:val="0"/>
        <w:spacing w:beforeAutospacing="0" w:afterAutospacing="0" w:line="560" w:lineRule="exact"/>
        <w:ind w:left="0" w:leftChars="0" w:firstLine="0" w:firstLineChars="0"/>
        <w:rPr>
          <w:rFonts w:hint="default" w:ascii="Times New Roman" w:hAnsi="Times New Roman" w:eastAsia="仿宋_GB2312" w:cs="Times New Roman"/>
          <w:color w:val="auto"/>
          <w:highlight w:val="none"/>
          <w:u w:val="none"/>
        </w:rPr>
      </w:pPr>
      <w:r>
        <w:rPr>
          <w:rFonts w:hint="default" w:ascii="Times New Roman" w:hAnsi="Times New Roman" w:eastAsia="仿宋_GB2312" w:cs="Times New Roman"/>
          <w:color w:val="auto"/>
          <w:highlight w:val="none"/>
          <w:u w:val="none"/>
        </w:rPr>
        <w:t>0</w:t>
      </w:r>
      <w:r>
        <w:rPr>
          <w:rFonts w:hint="default" w:ascii="Times New Roman" w:hAnsi="Times New Roman" w:eastAsia="仿宋_GB2312" w:cs="Times New Roman"/>
          <w:color w:val="auto"/>
          <w:highlight w:val="none"/>
          <w:u w:val="none"/>
          <w:lang w:val="en-US" w:eastAsia="zh-CN"/>
        </w:rPr>
        <w:t>4</w:t>
      </w:r>
      <w:r>
        <w:rPr>
          <w:rFonts w:hint="default" w:ascii="Times New Roman" w:hAnsi="Times New Roman" w:eastAsia="仿宋_GB2312" w:cs="Times New Roman"/>
          <w:color w:val="auto"/>
          <w:highlight w:val="none"/>
          <w:u w:val="none"/>
        </w:rPr>
        <w:t xml:space="preserve">  </w:t>
      </w:r>
      <w:r>
        <w:rPr>
          <w:rFonts w:hint="default" w:ascii="Times New Roman" w:hAnsi="Times New Roman" w:eastAsia="仿宋_GB2312" w:cs="Times New Roman"/>
          <w:color w:val="auto"/>
          <w:highlight w:val="none"/>
          <w:u w:val="none"/>
          <w:lang w:eastAsia="zh-CN"/>
        </w:rPr>
        <w:t>建筑垃圾处理设施规划图</w:t>
      </w:r>
    </w:p>
    <w:p w14:paraId="710BC30C">
      <w:pPr>
        <w:pStyle w:val="9"/>
        <w:pageBreakBefore w:val="0"/>
        <w:tabs>
          <w:tab w:val="left" w:pos="2681"/>
        </w:tabs>
        <w:kinsoku/>
        <w:wordWrap/>
        <w:topLinePunct w:val="0"/>
        <w:bidi w:val="0"/>
        <w:spacing w:beforeAutospacing="0" w:afterAutospacing="0" w:line="560" w:lineRule="exact"/>
        <w:ind w:left="0" w:leftChars="0" w:firstLine="0" w:firstLineChars="0"/>
        <w:rPr>
          <w:rFonts w:hint="default" w:ascii="Times New Roman" w:hAnsi="Times New Roman" w:eastAsia="仿宋_GB2312" w:cs="Times New Roman"/>
          <w:color w:val="auto"/>
          <w:highlight w:val="none"/>
          <w:u w:val="none"/>
          <w:lang w:val="en-US" w:eastAsia="zh-CN"/>
        </w:rPr>
      </w:pPr>
      <w:r>
        <w:rPr>
          <w:rFonts w:hint="default" w:ascii="Times New Roman" w:hAnsi="Times New Roman" w:eastAsia="仿宋_GB2312" w:cs="Times New Roman"/>
          <w:color w:val="auto"/>
          <w:highlight w:val="none"/>
          <w:u w:val="none"/>
          <w:lang w:val="en-US" w:eastAsia="zh-CN"/>
        </w:rPr>
        <w:t>05  中心城区土地使用规划图</w:t>
      </w:r>
    </w:p>
    <w:p w14:paraId="1DC35B9A">
      <w:pPr>
        <w:pStyle w:val="3"/>
        <w:pageBreakBefore w:val="0"/>
        <w:tabs>
          <w:tab w:val="left" w:pos="2681"/>
        </w:tabs>
        <w:kinsoku/>
        <w:wordWrap/>
        <w:topLinePunct w:val="0"/>
        <w:bidi w:val="0"/>
        <w:spacing w:beforeAutospacing="0" w:afterAutospacing="0" w:line="560" w:lineRule="exact"/>
        <w:ind w:left="0" w:leftChars="0" w:firstLine="0" w:firstLineChars="0"/>
        <w:rPr>
          <w:rFonts w:hint="default" w:ascii="Times New Roman" w:hAnsi="Times New Roman" w:eastAsia="仿宋_GB2312" w:cs="Times New Roman"/>
          <w:color w:val="auto"/>
          <w:highlight w:val="none"/>
          <w:u w:val="none"/>
          <w:lang w:val="en-US" w:eastAsia="zh-CN"/>
        </w:rPr>
      </w:pPr>
    </w:p>
    <w:sectPr>
      <w:pgSz w:w="11850" w:h="16783"/>
      <w:pgMar w:top="1440" w:right="1800" w:bottom="1440" w:left="1800" w:header="851" w:footer="992" w:gutter="0"/>
      <w:pgNumType w:fmt="decimal"/>
      <w:cols w:space="0" w:num="1"/>
      <w:rtlGutter w:val="0"/>
      <w:docGrid w:type="lines" w:linePitch="319"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560"/>
      </w:pPr>
      <w:r>
        <w:separator/>
      </w:r>
    </w:p>
  </w:endnote>
  <w:endnote w:type="continuationSeparator" w:id="1">
    <w:p>
      <w:pPr>
        <w:spacing w:line="240" w:lineRule="auto"/>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方正仿宋_GBK">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华文仿宋">
    <w:panose1 w:val="02010600040101010101"/>
    <w:charset w:val="86"/>
    <w:family w:val="auto"/>
    <w:pitch w:val="default"/>
    <w:sig w:usb0="00000287" w:usb1="080F0000" w:usb2="00000000" w:usb3="00000000" w:csb0="0004009F" w:csb1="DFD70000"/>
  </w:font>
  <w:font w:name="MS PGothic">
    <w:panose1 w:val="020B0600070205080204"/>
    <w:charset w:val="80"/>
    <w:family w:val="auto"/>
    <w:pitch w:val="default"/>
    <w:sig w:usb0="E00002FF" w:usb1="6AC7FDFB" w:usb2="08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A9C6B4">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C8A6F99">
                          <w:pPr>
                            <w:pStyle w:val="10"/>
                            <w:keepNext w:val="0"/>
                            <w:keepLines w:val="0"/>
                            <w:pageBreakBefore w:val="0"/>
                            <w:widowControl w:val="0"/>
                            <w:kinsoku/>
                            <w:wordWrap/>
                            <w:overflowPunct/>
                            <w:topLinePunct w:val="0"/>
                            <w:autoSpaceDE/>
                            <w:autoSpaceDN/>
                            <w:bidi w:val="0"/>
                            <w:adjustRightInd/>
                            <w:snapToGrid w:val="0"/>
                            <w:ind w:left="420" w:leftChars="150" w:right="420" w:rightChars="150" w:firstLine="0" w:firstLineChars="0"/>
                            <w:textAlignment w:val="auto"/>
                            <w:rPr>
                              <w:rFonts w:hint="default" w:ascii="Times New Roman" w:hAnsi="Times New Roman" w:cs="Times New Roman" w:eastAsiaTheme="minorEastAsia"/>
                              <w:sz w:val="28"/>
                              <w:szCs w:val="28"/>
                              <w:lang w:eastAsia="zh-CN"/>
                            </w:rPr>
                          </w:pPr>
                          <w:r>
                            <w:rPr>
                              <w:rFonts w:hint="default" w:ascii="Times New Roman" w:hAnsi="Times New Roman" w:cs="Times New Roman" w:eastAsiaTheme="minorEastAsia"/>
                              <w:sz w:val="28"/>
                              <w:szCs w:val="28"/>
                              <w:lang w:eastAsia="zh-CN"/>
                            </w:rPr>
                            <w:t xml:space="preserve">— </w:t>
                          </w:r>
                          <w:r>
                            <w:rPr>
                              <w:rFonts w:hint="default" w:ascii="Times New Roman" w:hAnsi="Times New Roman" w:cs="Times New Roman" w:eastAsiaTheme="minorEastAsia"/>
                              <w:sz w:val="28"/>
                              <w:szCs w:val="28"/>
                              <w:lang w:eastAsia="zh-CN"/>
                            </w:rPr>
                            <w:fldChar w:fldCharType="begin"/>
                          </w:r>
                          <w:r>
                            <w:rPr>
                              <w:rFonts w:hint="default" w:ascii="Times New Roman" w:hAnsi="Times New Roman" w:cs="Times New Roman" w:eastAsiaTheme="minorEastAsia"/>
                              <w:sz w:val="28"/>
                              <w:szCs w:val="28"/>
                              <w:lang w:eastAsia="zh-CN"/>
                            </w:rPr>
                            <w:instrText xml:space="preserve"> PAGE  \* MERGEFORMAT </w:instrText>
                          </w:r>
                          <w:r>
                            <w:rPr>
                              <w:rFonts w:hint="default" w:ascii="Times New Roman" w:hAnsi="Times New Roman" w:cs="Times New Roman" w:eastAsiaTheme="minorEastAsia"/>
                              <w:sz w:val="28"/>
                              <w:szCs w:val="28"/>
                              <w:lang w:eastAsia="zh-CN"/>
                            </w:rPr>
                            <w:fldChar w:fldCharType="separate"/>
                          </w:r>
                          <w:r>
                            <w:rPr>
                              <w:rFonts w:hint="default" w:ascii="Times New Roman" w:hAnsi="Times New Roman" w:cs="Times New Roman" w:eastAsiaTheme="minorEastAsia"/>
                              <w:sz w:val="28"/>
                              <w:szCs w:val="28"/>
                              <w:lang w:eastAsia="zh-CN"/>
                            </w:rPr>
                            <w:t>1</w:t>
                          </w:r>
                          <w:r>
                            <w:rPr>
                              <w:rFonts w:hint="default" w:ascii="Times New Roman" w:hAnsi="Times New Roman" w:cs="Times New Roman" w:eastAsiaTheme="minorEastAsia"/>
                              <w:sz w:val="28"/>
                              <w:szCs w:val="28"/>
                              <w:lang w:eastAsia="zh-CN"/>
                            </w:rPr>
                            <w:fldChar w:fldCharType="end"/>
                          </w:r>
                          <w:r>
                            <w:rPr>
                              <w:rFonts w:hint="default" w:ascii="Times New Roman" w:hAnsi="Times New Roman" w:cs="Times New Roman" w:eastAsia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6C8A6F99">
                    <w:pPr>
                      <w:pStyle w:val="10"/>
                      <w:keepNext w:val="0"/>
                      <w:keepLines w:val="0"/>
                      <w:pageBreakBefore w:val="0"/>
                      <w:widowControl w:val="0"/>
                      <w:kinsoku/>
                      <w:wordWrap/>
                      <w:overflowPunct/>
                      <w:topLinePunct w:val="0"/>
                      <w:autoSpaceDE/>
                      <w:autoSpaceDN/>
                      <w:bidi w:val="0"/>
                      <w:adjustRightInd/>
                      <w:snapToGrid w:val="0"/>
                      <w:ind w:left="420" w:leftChars="150" w:right="420" w:rightChars="150" w:firstLine="0" w:firstLineChars="0"/>
                      <w:textAlignment w:val="auto"/>
                      <w:rPr>
                        <w:rFonts w:hint="default" w:ascii="Times New Roman" w:hAnsi="Times New Roman" w:cs="Times New Roman" w:eastAsiaTheme="minorEastAsia"/>
                        <w:sz w:val="28"/>
                        <w:szCs w:val="28"/>
                        <w:lang w:eastAsia="zh-CN"/>
                      </w:rPr>
                    </w:pPr>
                    <w:r>
                      <w:rPr>
                        <w:rFonts w:hint="default" w:ascii="Times New Roman" w:hAnsi="Times New Roman" w:cs="Times New Roman" w:eastAsiaTheme="minorEastAsia"/>
                        <w:sz w:val="28"/>
                        <w:szCs w:val="28"/>
                        <w:lang w:eastAsia="zh-CN"/>
                      </w:rPr>
                      <w:t xml:space="preserve">— </w:t>
                    </w:r>
                    <w:r>
                      <w:rPr>
                        <w:rFonts w:hint="default" w:ascii="Times New Roman" w:hAnsi="Times New Roman" w:cs="Times New Roman" w:eastAsiaTheme="minorEastAsia"/>
                        <w:sz w:val="28"/>
                        <w:szCs w:val="28"/>
                        <w:lang w:eastAsia="zh-CN"/>
                      </w:rPr>
                      <w:fldChar w:fldCharType="begin"/>
                    </w:r>
                    <w:r>
                      <w:rPr>
                        <w:rFonts w:hint="default" w:ascii="Times New Roman" w:hAnsi="Times New Roman" w:cs="Times New Roman" w:eastAsiaTheme="minorEastAsia"/>
                        <w:sz w:val="28"/>
                        <w:szCs w:val="28"/>
                        <w:lang w:eastAsia="zh-CN"/>
                      </w:rPr>
                      <w:instrText xml:space="preserve"> PAGE  \* MERGEFORMAT </w:instrText>
                    </w:r>
                    <w:r>
                      <w:rPr>
                        <w:rFonts w:hint="default" w:ascii="Times New Roman" w:hAnsi="Times New Roman" w:cs="Times New Roman" w:eastAsiaTheme="minorEastAsia"/>
                        <w:sz w:val="28"/>
                        <w:szCs w:val="28"/>
                        <w:lang w:eastAsia="zh-CN"/>
                      </w:rPr>
                      <w:fldChar w:fldCharType="separate"/>
                    </w:r>
                    <w:r>
                      <w:rPr>
                        <w:rFonts w:hint="default" w:ascii="Times New Roman" w:hAnsi="Times New Roman" w:cs="Times New Roman" w:eastAsiaTheme="minorEastAsia"/>
                        <w:sz w:val="28"/>
                        <w:szCs w:val="28"/>
                        <w:lang w:eastAsia="zh-CN"/>
                      </w:rPr>
                      <w:t>1</w:t>
                    </w:r>
                    <w:r>
                      <w:rPr>
                        <w:rFonts w:hint="default" w:ascii="Times New Roman" w:hAnsi="Times New Roman" w:cs="Times New Roman" w:eastAsiaTheme="minorEastAsia"/>
                        <w:sz w:val="28"/>
                        <w:szCs w:val="28"/>
                        <w:lang w:eastAsia="zh-CN"/>
                      </w:rPr>
                      <w:fldChar w:fldCharType="end"/>
                    </w:r>
                    <w:r>
                      <w:rPr>
                        <w:rFonts w:hint="default" w:ascii="Times New Roman" w:hAnsi="Times New Roman" w:cs="Times New Roman" w:eastAsiaTheme="minorEastAsia"/>
                        <w:sz w:val="28"/>
                        <w:szCs w:val="28"/>
                        <w:lang w:eastAsia="zh-CN"/>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560"/>
      </w:pPr>
      <w:r>
        <w:separator/>
      </w:r>
    </w:p>
  </w:footnote>
  <w:footnote w:type="continuationSeparator" w:id="1">
    <w:p>
      <w:pPr>
        <w:spacing w:line="360" w:lineRule="auto"/>
        <w:ind w:firstLine="56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ED7277">
    <w:pPr>
      <w:pStyle w:val="11"/>
      <w:pBdr>
        <w:bottom w:val="single" w:color="auto" w:sz="4" w:space="1"/>
      </w:pBdr>
      <w:jc w:val="right"/>
      <w:rPr>
        <w:sz w:val="21"/>
        <w:szCs w:val="21"/>
        <w:u w:val="none"/>
      </w:rPr>
    </w:pPr>
    <w:r>
      <w:rPr>
        <w:rFonts w:hint="eastAsia"/>
        <w:sz w:val="21"/>
        <w:szCs w:val="21"/>
        <w:highlight w:val="none"/>
        <w:u w:val="none"/>
        <w:lang w:val="en-US" w:eastAsia="zh-CN"/>
      </w:rPr>
      <w:t>融安</w:t>
    </w:r>
    <w:r>
      <w:rPr>
        <w:rFonts w:hint="eastAsia" w:ascii="Times New Roman" w:hAnsi="Times New Roman"/>
        <w:sz w:val="21"/>
        <w:szCs w:val="21"/>
        <w:u w:val="none"/>
        <w:lang w:eastAsia="zh-CN"/>
      </w:rPr>
      <w:t>县</w:t>
    </w:r>
    <w:r>
      <w:rPr>
        <w:rFonts w:hint="eastAsia"/>
        <w:sz w:val="21"/>
        <w:szCs w:val="21"/>
        <w:u w:val="none"/>
      </w:rPr>
      <w:t>建筑垃圾污染环境防治工作规划（2024</w:t>
    </w:r>
    <w:r>
      <w:rPr>
        <w:rFonts w:hint="eastAsia"/>
        <w:sz w:val="21"/>
        <w:szCs w:val="21"/>
        <w:u w:val="none"/>
        <w:lang w:eastAsia="zh-CN"/>
      </w:rPr>
      <w:t>—</w:t>
    </w:r>
    <w:r>
      <w:rPr>
        <w:rFonts w:hint="eastAsia"/>
        <w:sz w:val="21"/>
        <w:szCs w:val="21"/>
        <w:u w:val="none"/>
      </w:rPr>
      <w:t>2035年）</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889549F"/>
    <w:multiLevelType w:val="singleLevel"/>
    <w:tmpl w:val="D889549F"/>
    <w:lvl w:ilvl="0" w:tentative="0">
      <w:start w:val="2"/>
      <w:numFmt w:val="decimal"/>
      <w:suff w:val="nothing"/>
      <w:lvlText w:val="（%1）"/>
      <w:lvlJc w:val="left"/>
    </w:lvl>
  </w:abstractNum>
  <w:abstractNum w:abstractNumId="1">
    <w:nsid w:val="29567F3E"/>
    <w:multiLevelType w:val="multilevel"/>
    <w:tmpl w:val="29567F3E"/>
    <w:lvl w:ilvl="0" w:tentative="0">
      <w:start w:val="1"/>
      <w:numFmt w:val="decimal"/>
      <w:pStyle w:val="33"/>
      <w:suff w:val="space"/>
      <w:lvlText w:val="%1"/>
      <w:lvlJc w:val="left"/>
      <w:pPr>
        <w:ind w:left="0" w:firstLine="0"/>
      </w:pPr>
      <w:rPr>
        <w:rFonts w:hint="eastAsia"/>
        <w:b/>
        <w:bCs/>
      </w:rPr>
    </w:lvl>
    <w:lvl w:ilvl="1" w:tentative="0">
      <w:start w:val="1"/>
      <w:numFmt w:val="decimal"/>
      <w:isLgl/>
      <w:suff w:val="space"/>
      <w:lvlText w:val="%1.%2"/>
      <w:lvlJc w:val="left"/>
      <w:pPr>
        <w:ind w:left="284" w:firstLine="0"/>
      </w:pPr>
      <w:rPr>
        <w:rFonts w:hint="eastAsia"/>
      </w:rPr>
    </w:lvl>
    <w:lvl w:ilvl="2" w:tentative="0">
      <w:start w:val="1"/>
      <w:numFmt w:val="decimal"/>
      <w:isLgl/>
      <w:suff w:val="space"/>
      <w:lvlText w:val="%1.%2.%3"/>
      <w:lvlJc w:val="left"/>
      <w:pPr>
        <w:ind w:left="0" w:firstLine="0"/>
      </w:pPr>
      <w:rPr>
        <w:rFonts w:hint="eastAsia"/>
      </w:rPr>
    </w:lvl>
    <w:lvl w:ilvl="3" w:tentative="0">
      <w:start w:val="1"/>
      <w:numFmt w:val="decimal"/>
      <w:lvlRestart w:val="2"/>
      <w:isLgl/>
      <w:suff w:val="space"/>
      <w:lvlText w:val="表%1.%2-%4"/>
      <w:lvlJc w:val="center"/>
      <w:pPr>
        <w:ind w:left="0" w:firstLine="288"/>
      </w:pPr>
      <w:rPr>
        <w:rFonts w:hint="eastAsia"/>
      </w:rPr>
    </w:lvl>
    <w:lvl w:ilvl="4" w:tentative="0">
      <w:start w:val="1"/>
      <w:numFmt w:val="decimal"/>
      <w:lvlRestart w:val="2"/>
      <w:isLgl/>
      <w:suff w:val="space"/>
      <w:lvlText w:val="图%1.%2-%5"/>
      <w:lvlJc w:val="center"/>
      <w:pPr>
        <w:ind w:left="0" w:firstLine="288"/>
      </w:pPr>
      <w:rPr>
        <w:rFonts w:hint="eastAsia"/>
      </w:rPr>
    </w:lvl>
    <w:lvl w:ilvl="5" w:tentative="0">
      <w:start w:val="1"/>
      <w:numFmt w:val="decimal"/>
      <w:isLgl/>
      <w:lvlText w:val="%6、"/>
      <w:lvlJc w:val="left"/>
      <w:pPr>
        <w:ind w:left="0" w:firstLine="0"/>
      </w:pPr>
      <w:rPr>
        <w:rFonts w:hint="eastAsia"/>
      </w:rPr>
    </w:lvl>
    <w:lvl w:ilvl="6" w:tentative="0">
      <w:start w:val="1"/>
      <w:numFmt w:val="decimal"/>
      <w:lvlRestart w:val="0"/>
      <w:lvlText w:val="（%7）"/>
      <w:lvlJc w:val="left"/>
      <w:pPr>
        <w:tabs>
          <w:tab w:val="left" w:pos="0"/>
        </w:tabs>
        <w:ind w:left="0" w:firstLine="0"/>
      </w:pPr>
      <w:rPr>
        <w:rFonts w:hint="eastAsia"/>
      </w:rPr>
    </w:lvl>
    <w:lvl w:ilvl="7" w:tentative="0">
      <w:start w:val="1"/>
      <w:numFmt w:val="decimal"/>
      <w:lvlText w:val="%8"/>
      <w:lvlJc w:val="left"/>
      <w:pPr>
        <w:ind w:left="0" w:firstLine="0"/>
      </w:pPr>
      <w:rPr>
        <w:rFonts w:hint="eastAsia"/>
      </w:rPr>
    </w:lvl>
    <w:lvl w:ilvl="8" w:tentative="0">
      <w:start w:val="1"/>
      <w:numFmt w:val="decimal"/>
      <w:lvlText w:val="%1.%2.%3.%4.%5.%6.%7.%8.%9"/>
      <w:lvlJc w:val="left"/>
      <w:pPr>
        <w:ind w:left="1584" w:hanging="1584"/>
      </w:pPr>
      <w:rPr>
        <w:rFonts w:hint="eastAsia"/>
      </w:rPr>
    </w:lvl>
  </w:abstractNum>
  <w:abstractNum w:abstractNumId="2">
    <w:nsid w:val="3FFB4AF2"/>
    <w:multiLevelType w:val="singleLevel"/>
    <w:tmpl w:val="3FFB4AF2"/>
    <w:lvl w:ilvl="0" w:tentative="0">
      <w:start w:val="5"/>
      <w:numFmt w:val="decimal"/>
      <w:suff w:val="nothing"/>
      <w:lvlText w:val="%1．"/>
      <w:lvlJc w:val="left"/>
    </w:lvl>
  </w:abstractNum>
  <w:abstractNum w:abstractNumId="3">
    <w:nsid w:val="45218228"/>
    <w:multiLevelType w:val="multilevel"/>
    <w:tmpl w:val="45218228"/>
    <w:lvl w:ilvl="0" w:tentative="0">
      <w:start w:val="1"/>
      <w:numFmt w:val="decimal"/>
      <w:suff w:val="space"/>
      <w:lvlText w:val="第%1章"/>
      <w:lvlJc w:val="left"/>
      <w:pPr>
        <w:ind w:left="0" w:firstLine="0"/>
      </w:pPr>
      <w:rPr>
        <w:rFonts w:hint="eastAsia" w:eastAsia="宋体"/>
        <w:b/>
        <w:i w:val="0"/>
        <w:sz w:val="32"/>
      </w:rPr>
    </w:lvl>
    <w:lvl w:ilvl="1" w:tentative="0">
      <w:start w:val="1"/>
      <w:numFmt w:val="decimal"/>
      <w:suff w:val="space"/>
      <w:lvlText w:val="%1.%2"/>
      <w:lvlJc w:val="left"/>
      <w:pPr>
        <w:ind w:left="3885" w:firstLine="0"/>
      </w:pPr>
      <w:rPr>
        <w:rFonts w:hint="eastAsia" w:eastAsia="宋体"/>
        <w:b/>
        <w:i w:val="0"/>
        <w:sz w:val="32"/>
      </w:rPr>
    </w:lvl>
    <w:lvl w:ilvl="2" w:tentative="0">
      <w:start w:val="1"/>
      <w:numFmt w:val="decimal"/>
      <w:pStyle w:val="4"/>
      <w:suff w:val="space"/>
      <w:lvlText w:val="%1.%2.%3"/>
      <w:lvlJc w:val="left"/>
      <w:pPr>
        <w:ind w:left="1276" w:firstLine="0"/>
      </w:pPr>
      <w:rPr>
        <w:rFonts w:hint="eastAsia" w:eastAsia="宋体"/>
        <w:b/>
        <w:i w:val="0"/>
        <w:sz w:val="28"/>
      </w:rPr>
    </w:lvl>
    <w:lvl w:ilvl="3" w:tentative="0">
      <w:start w:val="1"/>
      <w:numFmt w:val="none"/>
      <w:suff w:val="nothing"/>
      <w:lvlText w:val=""/>
      <w:lvlJc w:val="left"/>
      <w:pPr>
        <w:ind w:left="0" w:firstLine="0"/>
      </w:pPr>
      <w:rPr>
        <w:rFonts w:hint="eastAsia"/>
      </w:rPr>
    </w:lvl>
    <w:lvl w:ilvl="4" w:tentative="0">
      <w:start w:val="1"/>
      <w:numFmt w:val="none"/>
      <w:suff w:val="nothing"/>
      <w:lvlText w:val=""/>
      <w:lvlJc w:val="left"/>
      <w:pPr>
        <w:ind w:left="0" w:firstLine="0"/>
      </w:pPr>
      <w:rPr>
        <w:rFonts w:hint="eastAsia"/>
      </w:rPr>
    </w:lvl>
    <w:lvl w:ilvl="5" w:tentative="0">
      <w:start w:val="1"/>
      <w:numFmt w:val="none"/>
      <w:suff w:val="nothing"/>
      <w:lvlText w:val=""/>
      <w:lvlJc w:val="left"/>
      <w:pPr>
        <w:ind w:left="0" w:firstLine="0"/>
      </w:pPr>
      <w:rPr>
        <w:rFonts w:hint="eastAsia"/>
      </w:rPr>
    </w:lvl>
    <w:lvl w:ilvl="6" w:tentative="0">
      <w:start w:val="1"/>
      <w:numFmt w:val="none"/>
      <w:suff w:val="nothing"/>
      <w:lvlText w:val=""/>
      <w:lvlJc w:val="left"/>
      <w:pPr>
        <w:ind w:left="0" w:firstLine="0"/>
      </w:pPr>
      <w:rPr>
        <w:rFonts w:hint="eastAsia"/>
      </w:rPr>
    </w:lvl>
    <w:lvl w:ilvl="7" w:tentative="0">
      <w:start w:val="1"/>
      <w:numFmt w:val="none"/>
      <w:suff w:val="nothing"/>
      <w:lvlText w:val=""/>
      <w:lvlJc w:val="left"/>
      <w:pPr>
        <w:ind w:left="0" w:firstLine="0"/>
      </w:pPr>
      <w:rPr>
        <w:rFonts w:hint="eastAsia"/>
      </w:rPr>
    </w:lvl>
    <w:lvl w:ilvl="8" w:tentative="0">
      <w:start w:val="1"/>
      <w:numFmt w:val="none"/>
      <w:suff w:val="nothing"/>
      <w:lvlText w:val=""/>
      <w:lvlJc w:val="left"/>
      <w:pPr>
        <w:ind w:left="0" w:firstLine="0"/>
      </w:pPr>
      <w:rPr>
        <w:rFonts w:hint="eastAsia"/>
      </w:rPr>
    </w:lvl>
  </w:abstractNum>
  <w:abstractNum w:abstractNumId="4">
    <w:nsid w:val="490B5EB2"/>
    <w:multiLevelType w:val="multilevel"/>
    <w:tmpl w:val="490B5EB2"/>
    <w:lvl w:ilvl="0" w:tentative="0">
      <w:start w:val="1"/>
      <w:numFmt w:val="decimal"/>
      <w:pStyle w:val="15"/>
      <w:lvlText w:val="表%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3"/>
  </w:num>
  <w:num w:numId="2">
    <w:abstractNumId w:val="4"/>
  </w:num>
  <w:num w:numId="3">
    <w:abstractNumId w:val="1"/>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2"/>
  <w:bordersDoNotSurroundHeader w:val="0"/>
  <w:bordersDoNotSurroundFooter w:val="0"/>
  <w:documentProtection w:enforcement="0"/>
  <w:defaultTabStop w:val="420"/>
  <w:drawingGridVerticalSpacing w:val="165"/>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EwNDI4NmEyNGI5MzJjNzhmMTA0MjE0ZDZhMTRkYTcifQ=="/>
  </w:docVars>
  <w:rsids>
    <w:rsidRoot w:val="00172A27"/>
    <w:rsid w:val="000A40BA"/>
    <w:rsid w:val="00432C75"/>
    <w:rsid w:val="008F65C4"/>
    <w:rsid w:val="00A643B4"/>
    <w:rsid w:val="00AA3D23"/>
    <w:rsid w:val="00B12041"/>
    <w:rsid w:val="00CD55FA"/>
    <w:rsid w:val="00D22397"/>
    <w:rsid w:val="015D6F2C"/>
    <w:rsid w:val="018265F8"/>
    <w:rsid w:val="01963F48"/>
    <w:rsid w:val="01F8362F"/>
    <w:rsid w:val="02474612"/>
    <w:rsid w:val="026167A0"/>
    <w:rsid w:val="02BB4519"/>
    <w:rsid w:val="03277A19"/>
    <w:rsid w:val="033D58CC"/>
    <w:rsid w:val="040359DE"/>
    <w:rsid w:val="04185410"/>
    <w:rsid w:val="04784101"/>
    <w:rsid w:val="04884F18"/>
    <w:rsid w:val="048D72FB"/>
    <w:rsid w:val="04A71C4D"/>
    <w:rsid w:val="04AC2FBA"/>
    <w:rsid w:val="04B75A5D"/>
    <w:rsid w:val="05805938"/>
    <w:rsid w:val="05A618D2"/>
    <w:rsid w:val="05A943B6"/>
    <w:rsid w:val="05DE6313"/>
    <w:rsid w:val="05E87336"/>
    <w:rsid w:val="061055F3"/>
    <w:rsid w:val="064C2770"/>
    <w:rsid w:val="065D6509"/>
    <w:rsid w:val="069423CB"/>
    <w:rsid w:val="069756D0"/>
    <w:rsid w:val="06AC26FF"/>
    <w:rsid w:val="06C66D57"/>
    <w:rsid w:val="06FA7309"/>
    <w:rsid w:val="06FC6923"/>
    <w:rsid w:val="073C41D0"/>
    <w:rsid w:val="07453C07"/>
    <w:rsid w:val="07921CE0"/>
    <w:rsid w:val="07AE1028"/>
    <w:rsid w:val="07E521E7"/>
    <w:rsid w:val="07E66F84"/>
    <w:rsid w:val="08916605"/>
    <w:rsid w:val="08A4195E"/>
    <w:rsid w:val="08B030F0"/>
    <w:rsid w:val="08FD4BD5"/>
    <w:rsid w:val="09352129"/>
    <w:rsid w:val="09512BD3"/>
    <w:rsid w:val="09727863"/>
    <w:rsid w:val="09A56CEC"/>
    <w:rsid w:val="09B6639B"/>
    <w:rsid w:val="09C417D0"/>
    <w:rsid w:val="09DC47EA"/>
    <w:rsid w:val="0A022E19"/>
    <w:rsid w:val="0A075D0B"/>
    <w:rsid w:val="0A334EFC"/>
    <w:rsid w:val="0A585887"/>
    <w:rsid w:val="0AA22680"/>
    <w:rsid w:val="0AC52104"/>
    <w:rsid w:val="0AD82D92"/>
    <w:rsid w:val="0B0614D4"/>
    <w:rsid w:val="0B1161B7"/>
    <w:rsid w:val="0B45707B"/>
    <w:rsid w:val="0B625FA0"/>
    <w:rsid w:val="0B7B68EC"/>
    <w:rsid w:val="0B9858D3"/>
    <w:rsid w:val="0C356A77"/>
    <w:rsid w:val="0C516299"/>
    <w:rsid w:val="0C9B3E1C"/>
    <w:rsid w:val="0CAE1707"/>
    <w:rsid w:val="0CBD4FB4"/>
    <w:rsid w:val="0CCB6608"/>
    <w:rsid w:val="0CD13786"/>
    <w:rsid w:val="0D440ECC"/>
    <w:rsid w:val="0DC4251D"/>
    <w:rsid w:val="0DF0564C"/>
    <w:rsid w:val="0E286250"/>
    <w:rsid w:val="0E310904"/>
    <w:rsid w:val="0E42306B"/>
    <w:rsid w:val="0E804DB3"/>
    <w:rsid w:val="0E855450"/>
    <w:rsid w:val="0E902F9E"/>
    <w:rsid w:val="0E9C2F22"/>
    <w:rsid w:val="0EBE6916"/>
    <w:rsid w:val="0EC54049"/>
    <w:rsid w:val="0EE5692C"/>
    <w:rsid w:val="0EF05FC2"/>
    <w:rsid w:val="0F342FFB"/>
    <w:rsid w:val="0F3C2B46"/>
    <w:rsid w:val="0F5B4403"/>
    <w:rsid w:val="0F694CC8"/>
    <w:rsid w:val="10055805"/>
    <w:rsid w:val="10445171"/>
    <w:rsid w:val="10736777"/>
    <w:rsid w:val="11152624"/>
    <w:rsid w:val="11380EA0"/>
    <w:rsid w:val="113E5757"/>
    <w:rsid w:val="11464F23"/>
    <w:rsid w:val="11987B90"/>
    <w:rsid w:val="11BC62A5"/>
    <w:rsid w:val="11E8491E"/>
    <w:rsid w:val="12B24A41"/>
    <w:rsid w:val="12FB3F33"/>
    <w:rsid w:val="13052B95"/>
    <w:rsid w:val="13B733E4"/>
    <w:rsid w:val="13C722AC"/>
    <w:rsid w:val="145540E0"/>
    <w:rsid w:val="14601D7C"/>
    <w:rsid w:val="1513181F"/>
    <w:rsid w:val="15176C26"/>
    <w:rsid w:val="15192867"/>
    <w:rsid w:val="15212EE4"/>
    <w:rsid w:val="154518F4"/>
    <w:rsid w:val="16282837"/>
    <w:rsid w:val="16296875"/>
    <w:rsid w:val="16922E00"/>
    <w:rsid w:val="16983207"/>
    <w:rsid w:val="16B2352B"/>
    <w:rsid w:val="16BC61C6"/>
    <w:rsid w:val="16C34711"/>
    <w:rsid w:val="171F3941"/>
    <w:rsid w:val="17321AB6"/>
    <w:rsid w:val="179F7397"/>
    <w:rsid w:val="17A53786"/>
    <w:rsid w:val="18475E6C"/>
    <w:rsid w:val="18496DE3"/>
    <w:rsid w:val="185D2F9A"/>
    <w:rsid w:val="186B2838"/>
    <w:rsid w:val="18B30C10"/>
    <w:rsid w:val="18C717A9"/>
    <w:rsid w:val="19085FDC"/>
    <w:rsid w:val="191D6CCC"/>
    <w:rsid w:val="1968723B"/>
    <w:rsid w:val="198246C9"/>
    <w:rsid w:val="198807A9"/>
    <w:rsid w:val="19EE1E22"/>
    <w:rsid w:val="1A33115C"/>
    <w:rsid w:val="1A644AB4"/>
    <w:rsid w:val="1A756CC1"/>
    <w:rsid w:val="1A7573D0"/>
    <w:rsid w:val="1A7760C6"/>
    <w:rsid w:val="1A7B550B"/>
    <w:rsid w:val="1AC06972"/>
    <w:rsid w:val="1AC701B4"/>
    <w:rsid w:val="1B633E1C"/>
    <w:rsid w:val="1B6C3D63"/>
    <w:rsid w:val="1B6D78FF"/>
    <w:rsid w:val="1BCF0653"/>
    <w:rsid w:val="1BDC7FC4"/>
    <w:rsid w:val="1C0D2E3D"/>
    <w:rsid w:val="1C133C67"/>
    <w:rsid w:val="1C2B5B35"/>
    <w:rsid w:val="1C4526C3"/>
    <w:rsid w:val="1C597B05"/>
    <w:rsid w:val="1C8F346F"/>
    <w:rsid w:val="1CFD5264"/>
    <w:rsid w:val="1CFE5FA4"/>
    <w:rsid w:val="1D2302DB"/>
    <w:rsid w:val="1D4F352B"/>
    <w:rsid w:val="1D6D4A7C"/>
    <w:rsid w:val="1D951A61"/>
    <w:rsid w:val="1D962CE4"/>
    <w:rsid w:val="1DA15A56"/>
    <w:rsid w:val="1DCA2E80"/>
    <w:rsid w:val="1E3B7A63"/>
    <w:rsid w:val="1E4E6744"/>
    <w:rsid w:val="1E6578FA"/>
    <w:rsid w:val="1E703800"/>
    <w:rsid w:val="1E845F11"/>
    <w:rsid w:val="1E890D6D"/>
    <w:rsid w:val="1EA36297"/>
    <w:rsid w:val="1F345854"/>
    <w:rsid w:val="1F3B3E5B"/>
    <w:rsid w:val="1FC41F6F"/>
    <w:rsid w:val="1FD471C5"/>
    <w:rsid w:val="1FFC3EBF"/>
    <w:rsid w:val="206F719F"/>
    <w:rsid w:val="209972B7"/>
    <w:rsid w:val="20AF28BB"/>
    <w:rsid w:val="21612B74"/>
    <w:rsid w:val="21BC101C"/>
    <w:rsid w:val="21E473CD"/>
    <w:rsid w:val="21F071B0"/>
    <w:rsid w:val="22295B1A"/>
    <w:rsid w:val="229B6D53"/>
    <w:rsid w:val="22D87DED"/>
    <w:rsid w:val="22FF0CA5"/>
    <w:rsid w:val="2319156A"/>
    <w:rsid w:val="23644810"/>
    <w:rsid w:val="237D5D69"/>
    <w:rsid w:val="23D9556E"/>
    <w:rsid w:val="243A2F7C"/>
    <w:rsid w:val="24744E3D"/>
    <w:rsid w:val="24771B3B"/>
    <w:rsid w:val="24A63930"/>
    <w:rsid w:val="24A73F1B"/>
    <w:rsid w:val="24C20D54"/>
    <w:rsid w:val="251C4118"/>
    <w:rsid w:val="252D24C7"/>
    <w:rsid w:val="253B700D"/>
    <w:rsid w:val="255E037E"/>
    <w:rsid w:val="25B54AD7"/>
    <w:rsid w:val="25BA6A86"/>
    <w:rsid w:val="25C74F6D"/>
    <w:rsid w:val="25D858CA"/>
    <w:rsid w:val="26046F0F"/>
    <w:rsid w:val="263A6F1E"/>
    <w:rsid w:val="26430DD2"/>
    <w:rsid w:val="265A7562"/>
    <w:rsid w:val="26661115"/>
    <w:rsid w:val="26BD0676"/>
    <w:rsid w:val="26DB38D0"/>
    <w:rsid w:val="27194D12"/>
    <w:rsid w:val="271B65C2"/>
    <w:rsid w:val="27220ADA"/>
    <w:rsid w:val="274D225B"/>
    <w:rsid w:val="27906B0B"/>
    <w:rsid w:val="27C869D0"/>
    <w:rsid w:val="27CF1571"/>
    <w:rsid w:val="27D41EEF"/>
    <w:rsid w:val="27F606FA"/>
    <w:rsid w:val="27F61A9E"/>
    <w:rsid w:val="28070DAE"/>
    <w:rsid w:val="28243AD4"/>
    <w:rsid w:val="28385EF3"/>
    <w:rsid w:val="2888100C"/>
    <w:rsid w:val="28D222F9"/>
    <w:rsid w:val="293A019F"/>
    <w:rsid w:val="29546CE7"/>
    <w:rsid w:val="29695641"/>
    <w:rsid w:val="299B46F5"/>
    <w:rsid w:val="29C162D7"/>
    <w:rsid w:val="29C92C9E"/>
    <w:rsid w:val="29EA396B"/>
    <w:rsid w:val="29EE1E0D"/>
    <w:rsid w:val="29FE0213"/>
    <w:rsid w:val="2A691522"/>
    <w:rsid w:val="2A970D6C"/>
    <w:rsid w:val="2ADE7F6A"/>
    <w:rsid w:val="2B5203DC"/>
    <w:rsid w:val="2B991AB0"/>
    <w:rsid w:val="2B9E6CEA"/>
    <w:rsid w:val="2BE867F6"/>
    <w:rsid w:val="2C9E20B8"/>
    <w:rsid w:val="2CAD5E46"/>
    <w:rsid w:val="2D0F5F94"/>
    <w:rsid w:val="2D11614C"/>
    <w:rsid w:val="2D3C366E"/>
    <w:rsid w:val="2DC61C1A"/>
    <w:rsid w:val="2DDC0B49"/>
    <w:rsid w:val="2DEE55BE"/>
    <w:rsid w:val="2DF235D9"/>
    <w:rsid w:val="2E3A6DB2"/>
    <w:rsid w:val="2E954B33"/>
    <w:rsid w:val="2E995367"/>
    <w:rsid w:val="2EA025D3"/>
    <w:rsid w:val="2EA42B11"/>
    <w:rsid w:val="2F0118A7"/>
    <w:rsid w:val="2F6F5A01"/>
    <w:rsid w:val="2F8654B0"/>
    <w:rsid w:val="305C4774"/>
    <w:rsid w:val="306F53F1"/>
    <w:rsid w:val="30966267"/>
    <w:rsid w:val="30BC0BFD"/>
    <w:rsid w:val="30DB0884"/>
    <w:rsid w:val="30EF0855"/>
    <w:rsid w:val="30FC0F59"/>
    <w:rsid w:val="31083F93"/>
    <w:rsid w:val="31432160"/>
    <w:rsid w:val="31673CC9"/>
    <w:rsid w:val="3193791F"/>
    <w:rsid w:val="31982EEE"/>
    <w:rsid w:val="31CA797C"/>
    <w:rsid w:val="31DB4705"/>
    <w:rsid w:val="32447A9F"/>
    <w:rsid w:val="329E7B66"/>
    <w:rsid w:val="32B843D8"/>
    <w:rsid w:val="32D700C1"/>
    <w:rsid w:val="32DD5802"/>
    <w:rsid w:val="32DF5BFF"/>
    <w:rsid w:val="33166153"/>
    <w:rsid w:val="333B2D21"/>
    <w:rsid w:val="334069CF"/>
    <w:rsid w:val="33F151B2"/>
    <w:rsid w:val="340E00C6"/>
    <w:rsid w:val="34241A42"/>
    <w:rsid w:val="342C0C0D"/>
    <w:rsid w:val="3471256B"/>
    <w:rsid w:val="347E7F80"/>
    <w:rsid w:val="348B6686"/>
    <w:rsid w:val="349E2F7E"/>
    <w:rsid w:val="34D658BF"/>
    <w:rsid w:val="34E44857"/>
    <w:rsid w:val="34FB1EF7"/>
    <w:rsid w:val="357478F8"/>
    <w:rsid w:val="3575228F"/>
    <w:rsid w:val="3586422E"/>
    <w:rsid w:val="359A6B6C"/>
    <w:rsid w:val="35B92DF0"/>
    <w:rsid w:val="35BA5EEC"/>
    <w:rsid w:val="36020311"/>
    <w:rsid w:val="36091134"/>
    <w:rsid w:val="360A35EA"/>
    <w:rsid w:val="3618394C"/>
    <w:rsid w:val="3619535F"/>
    <w:rsid w:val="3626277C"/>
    <w:rsid w:val="3631406D"/>
    <w:rsid w:val="36357A89"/>
    <w:rsid w:val="363C514D"/>
    <w:rsid w:val="36464FD7"/>
    <w:rsid w:val="367871E9"/>
    <w:rsid w:val="367E1272"/>
    <w:rsid w:val="36912FF7"/>
    <w:rsid w:val="36926472"/>
    <w:rsid w:val="36A0500A"/>
    <w:rsid w:val="36AC2771"/>
    <w:rsid w:val="36C12862"/>
    <w:rsid w:val="37233E8C"/>
    <w:rsid w:val="37B145A5"/>
    <w:rsid w:val="38144B80"/>
    <w:rsid w:val="38261EEF"/>
    <w:rsid w:val="38685F99"/>
    <w:rsid w:val="3875787D"/>
    <w:rsid w:val="38A25C64"/>
    <w:rsid w:val="38DD4FCB"/>
    <w:rsid w:val="39075BBC"/>
    <w:rsid w:val="396106E4"/>
    <w:rsid w:val="39BE269C"/>
    <w:rsid w:val="39CB73F3"/>
    <w:rsid w:val="39FC4BEA"/>
    <w:rsid w:val="3A0E1EEE"/>
    <w:rsid w:val="3A1370D7"/>
    <w:rsid w:val="3A32614C"/>
    <w:rsid w:val="3A941228"/>
    <w:rsid w:val="3A985A30"/>
    <w:rsid w:val="3AB00E17"/>
    <w:rsid w:val="3AC058DE"/>
    <w:rsid w:val="3AFD26B2"/>
    <w:rsid w:val="3B037C46"/>
    <w:rsid w:val="3B29170A"/>
    <w:rsid w:val="3B353F62"/>
    <w:rsid w:val="3B4E14F1"/>
    <w:rsid w:val="3B8000A1"/>
    <w:rsid w:val="3BAB70DD"/>
    <w:rsid w:val="3BC10995"/>
    <w:rsid w:val="3BE03B40"/>
    <w:rsid w:val="3BF2270A"/>
    <w:rsid w:val="3BF4176A"/>
    <w:rsid w:val="3C2A03C4"/>
    <w:rsid w:val="3C3A36BB"/>
    <w:rsid w:val="3C771FCD"/>
    <w:rsid w:val="3CEF1D62"/>
    <w:rsid w:val="3D3B7470"/>
    <w:rsid w:val="3D3E05B3"/>
    <w:rsid w:val="3D3F7776"/>
    <w:rsid w:val="3D4B049C"/>
    <w:rsid w:val="3D635B5A"/>
    <w:rsid w:val="3E6842C3"/>
    <w:rsid w:val="3E9666C7"/>
    <w:rsid w:val="3F041C0C"/>
    <w:rsid w:val="3F17428F"/>
    <w:rsid w:val="3F4B1266"/>
    <w:rsid w:val="3F5367D4"/>
    <w:rsid w:val="3F721096"/>
    <w:rsid w:val="3F7C22D3"/>
    <w:rsid w:val="3FAB3DBB"/>
    <w:rsid w:val="3FC92B3F"/>
    <w:rsid w:val="3FD5756B"/>
    <w:rsid w:val="3FFC3C07"/>
    <w:rsid w:val="400D1324"/>
    <w:rsid w:val="4041301D"/>
    <w:rsid w:val="404E5DB8"/>
    <w:rsid w:val="406E4717"/>
    <w:rsid w:val="40D76DE0"/>
    <w:rsid w:val="40DF07D7"/>
    <w:rsid w:val="410F5C90"/>
    <w:rsid w:val="41352C36"/>
    <w:rsid w:val="413933FC"/>
    <w:rsid w:val="42087E65"/>
    <w:rsid w:val="420D42ED"/>
    <w:rsid w:val="42585666"/>
    <w:rsid w:val="4283215F"/>
    <w:rsid w:val="428419AD"/>
    <w:rsid w:val="42B51AA1"/>
    <w:rsid w:val="42EE3C34"/>
    <w:rsid w:val="42FC3C8E"/>
    <w:rsid w:val="433814A5"/>
    <w:rsid w:val="43496DE7"/>
    <w:rsid w:val="435F0417"/>
    <w:rsid w:val="4379487C"/>
    <w:rsid w:val="437B01A5"/>
    <w:rsid w:val="43BB20A2"/>
    <w:rsid w:val="43FA7DA1"/>
    <w:rsid w:val="44212E30"/>
    <w:rsid w:val="44C1768E"/>
    <w:rsid w:val="44C85ABB"/>
    <w:rsid w:val="44ED76B2"/>
    <w:rsid w:val="453C66A3"/>
    <w:rsid w:val="4540759A"/>
    <w:rsid w:val="455A4B76"/>
    <w:rsid w:val="456C1406"/>
    <w:rsid w:val="45FD0153"/>
    <w:rsid w:val="460728F4"/>
    <w:rsid w:val="4646003D"/>
    <w:rsid w:val="46711033"/>
    <w:rsid w:val="468F05E0"/>
    <w:rsid w:val="46CC3936"/>
    <w:rsid w:val="46EC2E25"/>
    <w:rsid w:val="46ED3458"/>
    <w:rsid w:val="46F73579"/>
    <w:rsid w:val="47136D96"/>
    <w:rsid w:val="473B19EC"/>
    <w:rsid w:val="47D06CCE"/>
    <w:rsid w:val="47D4315E"/>
    <w:rsid w:val="47DF1EC8"/>
    <w:rsid w:val="47E14D63"/>
    <w:rsid w:val="490F5247"/>
    <w:rsid w:val="49294882"/>
    <w:rsid w:val="4937054F"/>
    <w:rsid w:val="49AA648C"/>
    <w:rsid w:val="49AC4EC3"/>
    <w:rsid w:val="49BD7110"/>
    <w:rsid w:val="4A570604"/>
    <w:rsid w:val="4A7C5F33"/>
    <w:rsid w:val="4A8F0E29"/>
    <w:rsid w:val="4A9F3307"/>
    <w:rsid w:val="4ADB5A3C"/>
    <w:rsid w:val="4ADE309A"/>
    <w:rsid w:val="4AE01055"/>
    <w:rsid w:val="4B0729A6"/>
    <w:rsid w:val="4B7E16EB"/>
    <w:rsid w:val="4B847F44"/>
    <w:rsid w:val="4BBD0792"/>
    <w:rsid w:val="4BEB1505"/>
    <w:rsid w:val="4BF9550B"/>
    <w:rsid w:val="4BFE4E70"/>
    <w:rsid w:val="4CC255F0"/>
    <w:rsid w:val="4CC81A5D"/>
    <w:rsid w:val="4D62059F"/>
    <w:rsid w:val="4D722135"/>
    <w:rsid w:val="4D7A259C"/>
    <w:rsid w:val="4D8D5E65"/>
    <w:rsid w:val="4DAB7D28"/>
    <w:rsid w:val="4DC01ECE"/>
    <w:rsid w:val="4E0440BA"/>
    <w:rsid w:val="4E0D4016"/>
    <w:rsid w:val="4E177D2B"/>
    <w:rsid w:val="4E60540A"/>
    <w:rsid w:val="4E6C037E"/>
    <w:rsid w:val="4E7C32D2"/>
    <w:rsid w:val="4E812A9A"/>
    <w:rsid w:val="4E8C3AF8"/>
    <w:rsid w:val="4EBA6D85"/>
    <w:rsid w:val="4ECF7A46"/>
    <w:rsid w:val="4EED611E"/>
    <w:rsid w:val="4EF512B8"/>
    <w:rsid w:val="4F5501BC"/>
    <w:rsid w:val="505C56A8"/>
    <w:rsid w:val="50757B93"/>
    <w:rsid w:val="508D5E0B"/>
    <w:rsid w:val="50A46306"/>
    <w:rsid w:val="50A51954"/>
    <w:rsid w:val="50CA63E3"/>
    <w:rsid w:val="50ED7854"/>
    <w:rsid w:val="51BF6328"/>
    <w:rsid w:val="51E8736F"/>
    <w:rsid w:val="51F75AE7"/>
    <w:rsid w:val="52096D27"/>
    <w:rsid w:val="520B1B82"/>
    <w:rsid w:val="52494890"/>
    <w:rsid w:val="52CB6DE5"/>
    <w:rsid w:val="52F85838"/>
    <w:rsid w:val="5302038E"/>
    <w:rsid w:val="53554A1C"/>
    <w:rsid w:val="53715638"/>
    <w:rsid w:val="53924693"/>
    <w:rsid w:val="53BB66D6"/>
    <w:rsid w:val="53FA3C53"/>
    <w:rsid w:val="53FF3638"/>
    <w:rsid w:val="54122812"/>
    <w:rsid w:val="547301A5"/>
    <w:rsid w:val="54915879"/>
    <w:rsid w:val="55131CBC"/>
    <w:rsid w:val="55473E78"/>
    <w:rsid w:val="55A139D0"/>
    <w:rsid w:val="55A34BEF"/>
    <w:rsid w:val="55B441A0"/>
    <w:rsid w:val="55B92F29"/>
    <w:rsid w:val="55DD307F"/>
    <w:rsid w:val="55FA1105"/>
    <w:rsid w:val="562862F6"/>
    <w:rsid w:val="565B0A65"/>
    <w:rsid w:val="56852C70"/>
    <w:rsid w:val="56A943CB"/>
    <w:rsid w:val="5727418B"/>
    <w:rsid w:val="57327A88"/>
    <w:rsid w:val="573D04D3"/>
    <w:rsid w:val="575B0E13"/>
    <w:rsid w:val="57D20E12"/>
    <w:rsid w:val="57FF08F4"/>
    <w:rsid w:val="583B0B9C"/>
    <w:rsid w:val="58855A0B"/>
    <w:rsid w:val="58C13F2C"/>
    <w:rsid w:val="59581068"/>
    <w:rsid w:val="59B3259F"/>
    <w:rsid w:val="59D36CD8"/>
    <w:rsid w:val="59F34F31"/>
    <w:rsid w:val="59F77CBA"/>
    <w:rsid w:val="5A1C2EE4"/>
    <w:rsid w:val="5A6903F1"/>
    <w:rsid w:val="5A9C32F9"/>
    <w:rsid w:val="5AA76332"/>
    <w:rsid w:val="5AA96916"/>
    <w:rsid w:val="5AAD49D1"/>
    <w:rsid w:val="5AF06EAB"/>
    <w:rsid w:val="5AFD23A6"/>
    <w:rsid w:val="5AFD7761"/>
    <w:rsid w:val="5B021987"/>
    <w:rsid w:val="5B520017"/>
    <w:rsid w:val="5B974718"/>
    <w:rsid w:val="5C634AB4"/>
    <w:rsid w:val="5C8332D2"/>
    <w:rsid w:val="5CA93512"/>
    <w:rsid w:val="5D1551BE"/>
    <w:rsid w:val="5D3E190F"/>
    <w:rsid w:val="5D4D6199"/>
    <w:rsid w:val="5D533DF7"/>
    <w:rsid w:val="5D5B5434"/>
    <w:rsid w:val="5D9834AD"/>
    <w:rsid w:val="5DBFE81D"/>
    <w:rsid w:val="5DD77F34"/>
    <w:rsid w:val="5DD84B57"/>
    <w:rsid w:val="5DE251A9"/>
    <w:rsid w:val="5E5E146F"/>
    <w:rsid w:val="5E820BF5"/>
    <w:rsid w:val="5E8C7C23"/>
    <w:rsid w:val="5ED62490"/>
    <w:rsid w:val="5F073E29"/>
    <w:rsid w:val="5F1F5115"/>
    <w:rsid w:val="5F2D60E0"/>
    <w:rsid w:val="5F3E2126"/>
    <w:rsid w:val="5FAD0307"/>
    <w:rsid w:val="5FC91BA8"/>
    <w:rsid w:val="600D1E95"/>
    <w:rsid w:val="60895AD7"/>
    <w:rsid w:val="60CC4B9D"/>
    <w:rsid w:val="60EE2E2A"/>
    <w:rsid w:val="617049E7"/>
    <w:rsid w:val="61812E22"/>
    <w:rsid w:val="61A03E1F"/>
    <w:rsid w:val="61AC3024"/>
    <w:rsid w:val="6245659C"/>
    <w:rsid w:val="6259613F"/>
    <w:rsid w:val="62C164D2"/>
    <w:rsid w:val="62C26C59"/>
    <w:rsid w:val="62DC34C3"/>
    <w:rsid w:val="62FA0427"/>
    <w:rsid w:val="637F5A87"/>
    <w:rsid w:val="63CD6B64"/>
    <w:rsid w:val="63F4318A"/>
    <w:rsid w:val="63F74306"/>
    <w:rsid w:val="6408523C"/>
    <w:rsid w:val="64964078"/>
    <w:rsid w:val="64A23C99"/>
    <w:rsid w:val="64A31151"/>
    <w:rsid w:val="64D17D4F"/>
    <w:rsid w:val="653B6064"/>
    <w:rsid w:val="655D4CDA"/>
    <w:rsid w:val="6589499B"/>
    <w:rsid w:val="65E81941"/>
    <w:rsid w:val="66030981"/>
    <w:rsid w:val="66166687"/>
    <w:rsid w:val="666A157D"/>
    <w:rsid w:val="66A17B48"/>
    <w:rsid w:val="66A50E1D"/>
    <w:rsid w:val="66D201BF"/>
    <w:rsid w:val="66D55DF8"/>
    <w:rsid w:val="66FB7E2C"/>
    <w:rsid w:val="6736628C"/>
    <w:rsid w:val="67900D2B"/>
    <w:rsid w:val="679551BB"/>
    <w:rsid w:val="67973300"/>
    <w:rsid w:val="67AB1FA1"/>
    <w:rsid w:val="67B87B40"/>
    <w:rsid w:val="680B168E"/>
    <w:rsid w:val="6863174F"/>
    <w:rsid w:val="69454591"/>
    <w:rsid w:val="696C35A9"/>
    <w:rsid w:val="69C16191"/>
    <w:rsid w:val="69DD3883"/>
    <w:rsid w:val="69EA09DE"/>
    <w:rsid w:val="69FC1871"/>
    <w:rsid w:val="6A0F07A8"/>
    <w:rsid w:val="6A336100"/>
    <w:rsid w:val="6AB019A2"/>
    <w:rsid w:val="6B03751D"/>
    <w:rsid w:val="6B4D6BAB"/>
    <w:rsid w:val="6BD10E3E"/>
    <w:rsid w:val="6C3C1BD1"/>
    <w:rsid w:val="6CFB358B"/>
    <w:rsid w:val="6D3005DF"/>
    <w:rsid w:val="6D303931"/>
    <w:rsid w:val="6D880811"/>
    <w:rsid w:val="6D8A590B"/>
    <w:rsid w:val="6D970B37"/>
    <w:rsid w:val="6DB0169C"/>
    <w:rsid w:val="6DF67893"/>
    <w:rsid w:val="6E0B7AA2"/>
    <w:rsid w:val="6E580410"/>
    <w:rsid w:val="6E9E661F"/>
    <w:rsid w:val="6EF64D53"/>
    <w:rsid w:val="6F12734A"/>
    <w:rsid w:val="6F1A5999"/>
    <w:rsid w:val="6F6B7382"/>
    <w:rsid w:val="6FA905D4"/>
    <w:rsid w:val="6FC204DE"/>
    <w:rsid w:val="70937C46"/>
    <w:rsid w:val="712226D0"/>
    <w:rsid w:val="713A2FED"/>
    <w:rsid w:val="726409BB"/>
    <w:rsid w:val="72901DE2"/>
    <w:rsid w:val="72B37F14"/>
    <w:rsid w:val="72F47DC5"/>
    <w:rsid w:val="73005DFF"/>
    <w:rsid w:val="731B552E"/>
    <w:rsid w:val="731E2CB7"/>
    <w:rsid w:val="73380993"/>
    <w:rsid w:val="735A34D3"/>
    <w:rsid w:val="73A44D74"/>
    <w:rsid w:val="73C66021"/>
    <w:rsid w:val="74556662"/>
    <w:rsid w:val="746A074C"/>
    <w:rsid w:val="747F4E09"/>
    <w:rsid w:val="74A7778E"/>
    <w:rsid w:val="74B250E9"/>
    <w:rsid w:val="75160AD0"/>
    <w:rsid w:val="75282F0E"/>
    <w:rsid w:val="752D3340"/>
    <w:rsid w:val="754E2D0D"/>
    <w:rsid w:val="756D0660"/>
    <w:rsid w:val="75734062"/>
    <w:rsid w:val="7591493E"/>
    <w:rsid w:val="75A07E88"/>
    <w:rsid w:val="76541BF7"/>
    <w:rsid w:val="76AF43EA"/>
    <w:rsid w:val="76F44F37"/>
    <w:rsid w:val="77032718"/>
    <w:rsid w:val="77062C53"/>
    <w:rsid w:val="773B3E69"/>
    <w:rsid w:val="773B567F"/>
    <w:rsid w:val="776C7B2A"/>
    <w:rsid w:val="783855FE"/>
    <w:rsid w:val="78597AA3"/>
    <w:rsid w:val="787578CF"/>
    <w:rsid w:val="79181F26"/>
    <w:rsid w:val="79BD51C5"/>
    <w:rsid w:val="79C85FEB"/>
    <w:rsid w:val="79D319C8"/>
    <w:rsid w:val="7A590CF0"/>
    <w:rsid w:val="7A7D4503"/>
    <w:rsid w:val="7A7F0935"/>
    <w:rsid w:val="7AF04842"/>
    <w:rsid w:val="7AFB3BDC"/>
    <w:rsid w:val="7B0501C8"/>
    <w:rsid w:val="7B08284D"/>
    <w:rsid w:val="7B6940DD"/>
    <w:rsid w:val="7B7E2612"/>
    <w:rsid w:val="7BB221E6"/>
    <w:rsid w:val="7BFA5E73"/>
    <w:rsid w:val="7BFC46F8"/>
    <w:rsid w:val="7C0834F1"/>
    <w:rsid w:val="7C137A39"/>
    <w:rsid w:val="7C434CD2"/>
    <w:rsid w:val="7CAC702F"/>
    <w:rsid w:val="7CB13FCA"/>
    <w:rsid w:val="7CD647E0"/>
    <w:rsid w:val="7CF0780B"/>
    <w:rsid w:val="7CF6121D"/>
    <w:rsid w:val="7D034EAC"/>
    <w:rsid w:val="7D564034"/>
    <w:rsid w:val="7D71DE62"/>
    <w:rsid w:val="7DD71E92"/>
    <w:rsid w:val="7DDB01A1"/>
    <w:rsid w:val="7DEA6414"/>
    <w:rsid w:val="7DFB370D"/>
    <w:rsid w:val="7E3A18C4"/>
    <w:rsid w:val="7ECF0530"/>
    <w:rsid w:val="7F0343A5"/>
    <w:rsid w:val="7F313044"/>
    <w:rsid w:val="7F51588E"/>
    <w:rsid w:val="7F6C75F1"/>
    <w:rsid w:val="7F894F5F"/>
    <w:rsid w:val="7F8B2265"/>
    <w:rsid w:val="7FB40D64"/>
    <w:rsid w:val="ACD74D2C"/>
    <w:rsid w:val="BD4D9070"/>
    <w:rsid w:val="F53B05AE"/>
    <w:rsid w:val="FFDF2A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iPriority="99"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ind w:firstLine="723" w:firstLineChars="200"/>
      <w:jc w:val="both"/>
    </w:pPr>
    <w:rPr>
      <w:rFonts w:ascii="Times New Roman" w:hAnsi="Times New Roman" w:eastAsia="仿宋" w:cstheme="minorBidi"/>
      <w:kern w:val="2"/>
      <w:sz w:val="28"/>
      <w:szCs w:val="24"/>
      <w:lang w:val="en-US" w:eastAsia="zh-CN" w:bidi="ar-SA"/>
    </w:rPr>
  </w:style>
  <w:style w:type="paragraph" w:styleId="2">
    <w:name w:val="heading 1"/>
    <w:basedOn w:val="1"/>
    <w:next w:val="1"/>
    <w:qFormat/>
    <w:uiPriority w:val="0"/>
    <w:pPr>
      <w:keepNext/>
      <w:keepLines/>
      <w:numPr>
        <w:ilvl w:val="0"/>
        <w:numId w:val="0"/>
      </w:numPr>
      <w:spacing w:before="340" w:beforeLines="0" w:beforeAutospacing="0" w:after="330" w:afterLines="0" w:afterAutospacing="0" w:line="576" w:lineRule="auto"/>
      <w:ind w:left="0" w:firstLine="0" w:firstLineChars="0"/>
      <w:jc w:val="center"/>
      <w:outlineLvl w:val="0"/>
    </w:pPr>
    <w:rPr>
      <w:b/>
      <w:kern w:val="44"/>
      <w:sz w:val="32"/>
    </w:rPr>
  </w:style>
  <w:style w:type="paragraph" w:styleId="3">
    <w:name w:val="heading 2"/>
    <w:basedOn w:val="1"/>
    <w:next w:val="4"/>
    <w:link w:val="23"/>
    <w:unhideWhenUsed/>
    <w:qFormat/>
    <w:uiPriority w:val="0"/>
    <w:pPr>
      <w:keepNext/>
      <w:keepLines/>
      <w:widowControl/>
      <w:numPr>
        <w:ilvl w:val="1"/>
        <w:numId w:val="0"/>
      </w:numPr>
      <w:snapToGrid w:val="0"/>
      <w:spacing w:beforeAutospacing="1" w:afterAutospacing="1" w:line="240" w:lineRule="atLeast"/>
      <w:ind w:left="0" w:firstLine="0" w:firstLineChars="0"/>
      <w:jc w:val="left"/>
      <w:outlineLvl w:val="1"/>
    </w:pPr>
    <w:rPr>
      <w:rFonts w:ascii="Arial" w:hAnsi="Arial" w:eastAsia="黑体"/>
      <w:b/>
      <w:bCs/>
      <w:sz w:val="30"/>
      <w:szCs w:val="28"/>
    </w:rPr>
  </w:style>
  <w:style w:type="paragraph" w:styleId="4">
    <w:name w:val="heading 3"/>
    <w:basedOn w:val="1"/>
    <w:next w:val="1"/>
    <w:link w:val="24"/>
    <w:semiHidden/>
    <w:unhideWhenUsed/>
    <w:qFormat/>
    <w:uiPriority w:val="0"/>
    <w:pPr>
      <w:keepNext/>
      <w:widowControl/>
      <w:numPr>
        <w:ilvl w:val="2"/>
        <w:numId w:val="1"/>
      </w:numPr>
      <w:adjustRightInd w:val="0"/>
      <w:snapToGrid w:val="0"/>
      <w:ind w:left="0" w:firstLine="723" w:firstLineChars="200"/>
      <w:outlineLvl w:val="2"/>
    </w:pPr>
    <w:rPr>
      <w:rFonts w:ascii="Cambria" w:hAnsi="Cambria" w:cs="宋体"/>
      <w:b/>
      <w:bCs/>
      <w:kern w:val="0"/>
      <w:sz w:val="24"/>
      <w:szCs w:val="26"/>
      <w:lang w:eastAsia="en-US" w:bidi="en-US"/>
    </w:rPr>
  </w:style>
  <w:style w:type="character" w:default="1" w:styleId="18">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5">
    <w:name w:val="Normal Indent"/>
    <w:basedOn w:val="1"/>
    <w:next w:val="1"/>
    <w:qFormat/>
    <w:uiPriority w:val="0"/>
    <w:pPr>
      <w:ind w:firstLine="420"/>
    </w:pPr>
    <w:rPr>
      <w:kern w:val="0"/>
    </w:rPr>
  </w:style>
  <w:style w:type="paragraph" w:styleId="6">
    <w:name w:val="annotation text"/>
    <w:basedOn w:val="1"/>
    <w:qFormat/>
    <w:uiPriority w:val="0"/>
    <w:pPr>
      <w:jc w:val="left"/>
    </w:pPr>
  </w:style>
  <w:style w:type="paragraph" w:styleId="7">
    <w:name w:val="Body Text"/>
    <w:basedOn w:val="1"/>
    <w:unhideWhenUsed/>
    <w:qFormat/>
    <w:uiPriority w:val="1"/>
    <w:pPr>
      <w:spacing w:beforeLines="0" w:afterLines="0"/>
      <w:ind w:left="106"/>
    </w:pPr>
    <w:rPr>
      <w:rFonts w:hint="eastAsia" w:ascii="仿宋_GB2312" w:hAnsi="仿宋_GB2312" w:eastAsia="仿宋_GB2312"/>
      <w:sz w:val="32"/>
      <w:szCs w:val="24"/>
    </w:rPr>
  </w:style>
  <w:style w:type="paragraph" w:styleId="8">
    <w:name w:val="Body Text Indent"/>
    <w:basedOn w:val="1"/>
    <w:next w:val="1"/>
    <w:qFormat/>
    <w:uiPriority w:val="0"/>
    <w:pPr>
      <w:spacing w:line="600" w:lineRule="exact"/>
      <w:ind w:firstLine="640" w:firstLineChars="200"/>
    </w:pPr>
    <w:rPr>
      <w:rFonts w:ascii="楷体_GB2312" w:hAnsi="Times New Roman" w:eastAsia="楷体_GB2312" w:cs="Times New Roman"/>
      <w:sz w:val="32"/>
      <w:szCs w:val="32"/>
    </w:rPr>
  </w:style>
  <w:style w:type="paragraph" w:styleId="9">
    <w:name w:val="Plain Text"/>
    <w:basedOn w:val="1"/>
    <w:unhideWhenUsed/>
    <w:qFormat/>
    <w:uiPriority w:val="99"/>
    <w:rPr>
      <w:rFonts w:ascii="宋体" w:hAnsi="宋体"/>
      <w:sz w:val="32"/>
    </w:rPr>
  </w:style>
  <w:style w:type="paragraph" w:styleId="10">
    <w:name w:val="footer"/>
    <w:basedOn w:val="1"/>
    <w:qFormat/>
    <w:uiPriority w:val="0"/>
    <w:pPr>
      <w:tabs>
        <w:tab w:val="center" w:pos="4153"/>
        <w:tab w:val="right" w:pos="8306"/>
      </w:tabs>
      <w:snapToGrid w:val="0"/>
      <w:jc w:val="left"/>
    </w:pPr>
    <w:rPr>
      <w:sz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qFormat/>
    <w:uiPriority w:val="0"/>
  </w:style>
  <w:style w:type="paragraph" w:styleId="13">
    <w:name w:val="toc 2"/>
    <w:basedOn w:val="1"/>
    <w:next w:val="1"/>
    <w:qFormat/>
    <w:uiPriority w:val="0"/>
    <w:pPr>
      <w:ind w:left="420" w:leftChars="200"/>
    </w:pPr>
  </w:style>
  <w:style w:type="paragraph" w:styleId="14">
    <w:name w:val="Normal (Web)"/>
    <w:basedOn w:val="1"/>
    <w:qFormat/>
    <w:uiPriority w:val="0"/>
    <w:pPr>
      <w:spacing w:before="0" w:beforeAutospacing="1" w:after="0" w:afterAutospacing="1"/>
      <w:ind w:left="0" w:right="0"/>
      <w:jc w:val="left"/>
    </w:pPr>
    <w:rPr>
      <w:kern w:val="0"/>
      <w:sz w:val="24"/>
      <w:lang w:val="en-US" w:eastAsia="zh-CN" w:bidi="ar"/>
    </w:rPr>
  </w:style>
  <w:style w:type="paragraph" w:styleId="15">
    <w:name w:val="Title"/>
    <w:basedOn w:val="1"/>
    <w:next w:val="8"/>
    <w:qFormat/>
    <w:uiPriority w:val="10"/>
    <w:pPr>
      <w:numPr>
        <w:ilvl w:val="0"/>
        <w:numId w:val="2"/>
      </w:numPr>
      <w:autoSpaceDE w:val="0"/>
      <w:autoSpaceDN w:val="0"/>
      <w:spacing w:line="590" w:lineRule="exact"/>
      <w:ind w:firstLine="0" w:firstLineChars="0"/>
      <w:jc w:val="center"/>
      <w:outlineLvl w:val="6"/>
    </w:pPr>
    <w:rPr>
      <w:rFonts w:ascii="Times New Roman" w:hAnsi="Times New Roman" w:eastAsia="方正仿宋_GBK" w:cs="Times New Roman"/>
      <w:spacing w:val="-13"/>
      <w:kern w:val="0"/>
      <w:sz w:val="28"/>
      <w:szCs w:val="28"/>
      <w:lang w:bidi="zh-CN"/>
    </w:r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Strong"/>
    <w:basedOn w:val="18"/>
    <w:qFormat/>
    <w:uiPriority w:val="0"/>
    <w:rPr>
      <w:b/>
    </w:rPr>
  </w:style>
  <w:style w:type="character" w:styleId="20">
    <w:name w:val="Emphasis"/>
    <w:basedOn w:val="18"/>
    <w:qFormat/>
    <w:uiPriority w:val="0"/>
    <w:rPr>
      <w:i/>
    </w:rPr>
  </w:style>
  <w:style w:type="character" w:styleId="21">
    <w:name w:val="Hyperlink"/>
    <w:unhideWhenUsed/>
    <w:qFormat/>
    <w:uiPriority w:val="99"/>
    <w:rPr>
      <w:color w:val="0000FF"/>
      <w:u w:val="single"/>
    </w:rPr>
  </w:style>
  <w:style w:type="character" w:styleId="22">
    <w:name w:val="annotation reference"/>
    <w:unhideWhenUsed/>
    <w:qFormat/>
    <w:uiPriority w:val="99"/>
    <w:rPr>
      <w:sz w:val="21"/>
      <w:szCs w:val="21"/>
    </w:rPr>
  </w:style>
  <w:style w:type="character" w:customStyle="1" w:styleId="23">
    <w:name w:val="标题 2 Char"/>
    <w:link w:val="3"/>
    <w:qFormat/>
    <w:uiPriority w:val="0"/>
    <w:rPr>
      <w:rFonts w:ascii="Arial" w:hAnsi="Arial" w:eastAsia="黑体"/>
      <w:b/>
      <w:bCs/>
      <w:kern w:val="2"/>
      <w:sz w:val="30"/>
      <w:szCs w:val="28"/>
    </w:rPr>
  </w:style>
  <w:style w:type="character" w:customStyle="1" w:styleId="24">
    <w:name w:val="标题 3 Char"/>
    <w:link w:val="4"/>
    <w:qFormat/>
    <w:uiPriority w:val="0"/>
    <w:rPr>
      <w:rFonts w:ascii="Cambria" w:hAnsi="Cambria" w:eastAsia="宋体" w:cs="宋体"/>
      <w:b/>
      <w:bCs/>
      <w:sz w:val="24"/>
      <w:szCs w:val="26"/>
      <w:lang w:eastAsia="en-US" w:bidi="en-US"/>
    </w:rPr>
  </w:style>
  <w:style w:type="paragraph" w:customStyle="1" w:styleId="25">
    <w:name w:val="批注框文本1"/>
    <w:basedOn w:val="1"/>
    <w:qFormat/>
    <w:uiPriority w:val="0"/>
    <w:pPr>
      <w:pBdr>
        <w:top w:val="none" w:color="000000" w:sz="0" w:space="0"/>
        <w:left w:val="none" w:color="000000" w:sz="0" w:space="0"/>
        <w:bottom w:val="none" w:color="000000" w:sz="0" w:space="0"/>
        <w:right w:val="none" w:color="000000" w:sz="0" w:space="0"/>
        <w:between w:val="none" w:color="000000" w:sz="0" w:space="0"/>
      </w:pBdr>
    </w:pPr>
    <w:rPr>
      <w:rFonts w:ascii="Calibri" w:hAnsi="Calibri"/>
      <w:sz w:val="18"/>
      <w:szCs w:val="18"/>
    </w:rPr>
  </w:style>
  <w:style w:type="character" w:customStyle="1" w:styleId="26">
    <w:name w:val="font31"/>
    <w:basedOn w:val="18"/>
    <w:qFormat/>
    <w:uiPriority w:val="0"/>
    <w:rPr>
      <w:rFonts w:hint="eastAsia" w:ascii="方正仿宋_GBK" w:hAnsi="方正仿宋_GBK" w:eastAsia="方正仿宋_GBK" w:cs="方正仿宋_GBK"/>
      <w:b/>
      <w:color w:val="000000"/>
      <w:sz w:val="24"/>
      <w:szCs w:val="24"/>
      <w:u w:val="none"/>
    </w:rPr>
  </w:style>
  <w:style w:type="character" w:customStyle="1" w:styleId="27">
    <w:name w:val="font71"/>
    <w:basedOn w:val="18"/>
    <w:qFormat/>
    <w:uiPriority w:val="0"/>
    <w:rPr>
      <w:rFonts w:hint="eastAsia" w:ascii="方正仿宋_GBK" w:hAnsi="方正仿宋_GBK" w:eastAsia="方正仿宋_GBK" w:cs="方正仿宋_GBK"/>
      <w:b/>
      <w:color w:val="000000"/>
      <w:sz w:val="24"/>
      <w:szCs w:val="24"/>
      <w:u w:val="none"/>
      <w:vertAlign w:val="superscript"/>
    </w:rPr>
  </w:style>
  <w:style w:type="character" w:customStyle="1" w:styleId="28">
    <w:name w:val="font01"/>
    <w:basedOn w:val="18"/>
    <w:qFormat/>
    <w:uiPriority w:val="0"/>
    <w:rPr>
      <w:rFonts w:hint="eastAsia" w:ascii="宋体" w:hAnsi="宋体" w:eastAsia="宋体" w:cs="宋体"/>
      <w:color w:val="000000"/>
      <w:sz w:val="22"/>
      <w:szCs w:val="22"/>
      <w:u w:val="none"/>
    </w:rPr>
  </w:style>
  <w:style w:type="character" w:customStyle="1" w:styleId="29">
    <w:name w:val="font21"/>
    <w:basedOn w:val="18"/>
    <w:qFormat/>
    <w:uiPriority w:val="0"/>
    <w:rPr>
      <w:rFonts w:hint="default" w:ascii="Times New Roman" w:hAnsi="Times New Roman" w:cs="Times New Roman"/>
      <w:color w:val="000000"/>
      <w:sz w:val="22"/>
      <w:szCs w:val="22"/>
      <w:u w:val="none"/>
    </w:rPr>
  </w:style>
  <w:style w:type="character" w:customStyle="1" w:styleId="30">
    <w:name w:val="font11"/>
    <w:basedOn w:val="18"/>
    <w:qFormat/>
    <w:uiPriority w:val="0"/>
    <w:rPr>
      <w:rFonts w:hint="eastAsia" w:ascii="方正仿宋_GBK" w:hAnsi="方正仿宋_GBK" w:eastAsia="方正仿宋_GBK" w:cs="方正仿宋_GBK"/>
      <w:b/>
      <w:color w:val="000000"/>
      <w:sz w:val="24"/>
      <w:szCs w:val="24"/>
      <w:u w:val="none"/>
    </w:rPr>
  </w:style>
  <w:style w:type="character" w:customStyle="1" w:styleId="31">
    <w:name w:val="font51"/>
    <w:basedOn w:val="18"/>
    <w:qFormat/>
    <w:uiPriority w:val="0"/>
    <w:rPr>
      <w:rFonts w:hint="eastAsia" w:ascii="方正仿宋_GBK" w:hAnsi="方正仿宋_GBK" w:eastAsia="方正仿宋_GBK" w:cs="方正仿宋_GBK"/>
      <w:b/>
      <w:color w:val="000000"/>
      <w:sz w:val="24"/>
      <w:szCs w:val="24"/>
      <w:u w:val="none"/>
      <w:vertAlign w:val="superscript"/>
    </w:rPr>
  </w:style>
  <w:style w:type="character" w:customStyle="1" w:styleId="32">
    <w:name w:val="font112"/>
    <w:basedOn w:val="18"/>
    <w:qFormat/>
    <w:uiPriority w:val="0"/>
    <w:rPr>
      <w:rFonts w:hint="eastAsia" w:ascii="宋体" w:hAnsi="宋体" w:eastAsia="宋体" w:cs="宋体"/>
      <w:b/>
      <w:color w:val="000000"/>
      <w:sz w:val="24"/>
      <w:szCs w:val="24"/>
      <w:u w:val="none"/>
    </w:rPr>
  </w:style>
  <w:style w:type="paragraph" w:customStyle="1" w:styleId="33">
    <w:name w:val="标题1-序号"/>
    <w:basedOn w:val="2"/>
    <w:next w:val="1"/>
    <w:qFormat/>
    <w:uiPriority w:val="0"/>
    <w:pPr>
      <w:numPr>
        <w:ilvl w:val="0"/>
        <w:numId w:val="3"/>
      </w:numPr>
      <w:spacing w:before="0" w:after="0" w:line="360" w:lineRule="auto"/>
      <w:jc w:val="center"/>
    </w:pPr>
    <w:rPr>
      <w:rFonts w:cs="宋体"/>
      <w:sz w:val="32"/>
      <w:szCs w:val="32"/>
    </w:rPr>
  </w:style>
  <w:style w:type="paragraph" w:customStyle="1" w:styleId="34">
    <w:name w:val="WPSOffice手动目录 1"/>
    <w:qFormat/>
    <w:uiPriority w:val="0"/>
    <w:pPr>
      <w:ind w:leftChars="0"/>
    </w:pPr>
    <w:rPr>
      <w:rFonts w:ascii="Times New Roman" w:hAnsi="Times New Roman" w:eastAsia="宋体" w:cs="Times New Roman"/>
      <w:sz w:val="20"/>
      <w:szCs w:val="20"/>
    </w:rPr>
  </w:style>
  <w:style w:type="paragraph" w:customStyle="1" w:styleId="35">
    <w:name w:val="WPSOffice手动目录 2"/>
    <w:qFormat/>
    <w:uiPriority w:val="0"/>
    <w:pPr>
      <w:ind w:leftChars="200"/>
    </w:pPr>
    <w:rPr>
      <w:rFonts w:ascii="Times New Roman" w:hAnsi="Times New Roman" w:eastAsia="宋体" w:cs="Times New Roman"/>
      <w:sz w:val="20"/>
      <w:szCs w:val="20"/>
    </w:rPr>
  </w:style>
  <w:style w:type="paragraph" w:customStyle="1" w:styleId="36">
    <w:name w:val="Table Paragraph"/>
    <w:basedOn w:val="1"/>
    <w:qFormat/>
    <w:uiPriority w:val="1"/>
  </w:style>
  <w:style w:type="paragraph" w:styleId="37">
    <w:name w:val="List Paragraph"/>
    <w:basedOn w:val="1"/>
    <w:qFormat/>
    <w:uiPriority w:val="34"/>
    <w:pPr>
      <w:ind w:firstLine="420"/>
    </w:p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86</Pages>
  <Words>9895</Words>
  <Characters>10706</Characters>
  <Lines>0</Lines>
  <Paragraphs>0</Paragraphs>
  <TotalTime>40</TotalTime>
  <ScaleCrop>false</ScaleCrop>
  <LinksUpToDate>false</LinksUpToDate>
  <CharactersWithSpaces>10914</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2024-04-02T23:45:00Z</dcterms:created>
  <dc:creator>Administrator</dc:creator>
  <cp:lastModifiedBy>sunshine</cp:lastModifiedBy>
  <cp:lastPrinted>2025-07-25T01:40:00Z</cp:lastPrinted>
  <dcterms:modified xsi:type="dcterms:W3CDTF">2025-07-25T01:59:44Z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80E475E4A8EE4214A24E67A6558ABA49_13</vt:lpwstr>
  </property>
  <property fmtid="{D5CDD505-2E9C-101B-9397-08002B2CF9AE}" pid="4" name="KSOTemplateDocerSaveRecord">
    <vt:lpwstr>eyJoZGlkIjoiMjZkMDA2ZTVkZDVmYTVmMTFiNGM1NGUwMWMzYjUxNzAiLCJ1c2VySWQiOiI1OTY4NDgxNTEifQ==</vt:lpwstr>
  </property>
</Properties>
</file>